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0CE1" w14:textId="4F32E3F0" w:rsidR="009D0ADC" w:rsidRPr="005E0887" w:rsidRDefault="00D24F57" w:rsidP="005E0887">
      <w:pPr>
        <w:jc w:val="center"/>
        <w:rPr>
          <w:rFonts w:ascii="Times New Roman" w:eastAsia="Times New Roman" w:hAnsi="Times New Roman"/>
          <w:b/>
          <w:sz w:val="44"/>
          <w:szCs w:val="24"/>
        </w:rPr>
      </w:pPr>
      <w:r w:rsidRPr="005E0887">
        <w:rPr>
          <w:rFonts w:ascii="Times New Roman" w:eastAsia="Times New Roman" w:hAnsi="Times New Roman"/>
          <w:b/>
          <w:sz w:val="28"/>
          <w:szCs w:val="18"/>
        </w:rPr>
        <w:t>COMMUNE DE SAINTE CROIX DE QUINTILLARGUES</w:t>
      </w:r>
    </w:p>
    <w:p w14:paraId="1D83E3FD" w14:textId="77777777" w:rsidR="009D0ADC" w:rsidRDefault="009D0ADC">
      <w:pPr>
        <w:pStyle w:val="NormalWeb"/>
        <w:spacing w:before="0" w:beforeAutospacing="0" w:after="0" w:afterAutospacing="0"/>
        <w:jc w:val="center"/>
        <w:rPr>
          <w:b/>
          <w:bCs/>
          <w:sz w:val="28"/>
          <w:szCs w:val="28"/>
          <w:u w:val="single"/>
        </w:rPr>
      </w:pPr>
    </w:p>
    <w:p w14:paraId="67CE28FD" w14:textId="77777777" w:rsidR="009D0ADC" w:rsidRDefault="009D0ADC">
      <w:pPr>
        <w:pStyle w:val="NormalWeb"/>
        <w:spacing w:before="0" w:beforeAutospacing="0" w:after="0" w:afterAutospacing="0"/>
        <w:jc w:val="center"/>
        <w:rPr>
          <w:b/>
          <w:bCs/>
          <w:sz w:val="28"/>
          <w:szCs w:val="28"/>
          <w:u w:val="single"/>
        </w:rPr>
      </w:pPr>
    </w:p>
    <w:p w14:paraId="6B076812" w14:textId="53932861" w:rsidR="009D0ADC" w:rsidRPr="005E0887" w:rsidRDefault="00D24F57">
      <w:pPr>
        <w:pStyle w:val="NormalWeb"/>
        <w:spacing w:before="0" w:beforeAutospacing="0" w:after="0" w:afterAutospacing="0"/>
        <w:jc w:val="center"/>
        <w:rPr>
          <w:b/>
          <w:bCs/>
          <w:szCs w:val="28"/>
          <w:u w:val="single"/>
        </w:rPr>
      </w:pPr>
      <w:r w:rsidRPr="005E0887">
        <w:rPr>
          <w:b/>
          <w:bCs/>
          <w:szCs w:val="28"/>
          <w:u w:val="single"/>
        </w:rPr>
        <w:t>NOTE DE PRESENTATION SYNTHETIQUE</w:t>
      </w:r>
    </w:p>
    <w:p w14:paraId="1630658A" w14:textId="15424461" w:rsidR="009D0ADC" w:rsidRPr="005E0887" w:rsidRDefault="00D24F57">
      <w:pPr>
        <w:pStyle w:val="NormalWeb"/>
        <w:spacing w:before="0" w:beforeAutospacing="0" w:after="0" w:afterAutospacing="0"/>
        <w:jc w:val="center"/>
        <w:rPr>
          <w:szCs w:val="28"/>
          <w:u w:val="single"/>
        </w:rPr>
      </w:pPr>
      <w:r w:rsidRPr="005E0887">
        <w:rPr>
          <w:b/>
          <w:bCs/>
          <w:szCs w:val="28"/>
          <w:u w:val="single"/>
        </w:rPr>
        <w:t>DU BUDGET PRIMITIF 20</w:t>
      </w:r>
      <w:r w:rsidR="00D40971" w:rsidRPr="005E0887">
        <w:rPr>
          <w:b/>
          <w:bCs/>
          <w:szCs w:val="28"/>
          <w:u w:val="single"/>
        </w:rPr>
        <w:t>20</w:t>
      </w:r>
    </w:p>
    <w:p w14:paraId="59B4214B" w14:textId="77777777" w:rsidR="009D0ADC" w:rsidRDefault="009D0ADC">
      <w:pPr>
        <w:pStyle w:val="NormalWeb"/>
        <w:spacing w:before="0" w:beforeAutospacing="0" w:after="0" w:afterAutospacing="0"/>
        <w:rPr>
          <w:i/>
          <w:iCs/>
        </w:rPr>
      </w:pPr>
    </w:p>
    <w:p w14:paraId="6E6E22FE" w14:textId="77777777" w:rsidR="009D0ADC" w:rsidRDefault="009D0ADC">
      <w:pPr>
        <w:pStyle w:val="NormalWeb"/>
        <w:spacing w:before="0" w:beforeAutospacing="0" w:after="0" w:afterAutospacing="0"/>
        <w:rPr>
          <w:i/>
          <w:iCs/>
        </w:rPr>
      </w:pPr>
    </w:p>
    <w:p w14:paraId="124167EE" w14:textId="77777777" w:rsidR="009D0ADC" w:rsidRDefault="009D0ADC">
      <w:pPr>
        <w:pStyle w:val="NormalWeb"/>
        <w:spacing w:before="0" w:beforeAutospacing="0" w:after="0" w:afterAutospacing="0"/>
        <w:rPr>
          <w:i/>
          <w:iCs/>
        </w:rPr>
      </w:pPr>
    </w:p>
    <w:p w14:paraId="723CE076" w14:textId="77777777" w:rsidR="009D0ADC" w:rsidRDefault="00D24F57">
      <w:pPr>
        <w:pStyle w:val="NormalWeb"/>
        <w:spacing w:before="0" w:beforeAutospacing="0" w:after="0" w:afterAutospacing="0"/>
      </w:pPr>
      <w:r>
        <w:rPr>
          <w:i/>
          <w:iCs/>
        </w:rPr>
        <w:t>Sommaire :</w:t>
      </w:r>
    </w:p>
    <w:p w14:paraId="247C0841" w14:textId="77777777" w:rsidR="009D0ADC" w:rsidRDefault="00D24F57">
      <w:pPr>
        <w:pStyle w:val="NormalWeb"/>
      </w:pPr>
      <w:r>
        <w:rPr>
          <w:i/>
          <w:iCs/>
        </w:rPr>
        <w:t>I. Le cadre général du budget</w:t>
      </w:r>
    </w:p>
    <w:p w14:paraId="455562FB" w14:textId="77777777" w:rsidR="009D0ADC" w:rsidRDefault="00D24F57">
      <w:pPr>
        <w:pStyle w:val="NormalWeb"/>
      </w:pPr>
      <w:r>
        <w:rPr>
          <w:i/>
          <w:iCs/>
        </w:rPr>
        <w:t>II. La section de fonctionnement</w:t>
      </w:r>
    </w:p>
    <w:p w14:paraId="77C307F4" w14:textId="77777777" w:rsidR="009D0ADC" w:rsidRDefault="00D24F57">
      <w:pPr>
        <w:pStyle w:val="NormalWeb"/>
      </w:pPr>
      <w:r>
        <w:rPr>
          <w:i/>
          <w:iCs/>
        </w:rPr>
        <w:t>III. La section d’investissement</w:t>
      </w:r>
    </w:p>
    <w:p w14:paraId="532C380D" w14:textId="5E4D7A58" w:rsidR="009D0ADC" w:rsidRPr="004F3CDE" w:rsidRDefault="00D24F57">
      <w:pPr>
        <w:pStyle w:val="NormalWeb"/>
      </w:pPr>
      <w:r>
        <w:rPr>
          <w:i/>
          <w:iCs/>
        </w:rPr>
        <w:t>IV. Les données synthétiques du budget – Récapitulation</w:t>
      </w:r>
    </w:p>
    <w:p w14:paraId="626F3CD6" w14:textId="77777777" w:rsidR="009D0ADC" w:rsidRDefault="009D0ADC">
      <w:pPr>
        <w:pStyle w:val="NormalWeb"/>
        <w:rPr>
          <w:b/>
          <w:bCs/>
        </w:rPr>
      </w:pPr>
    </w:p>
    <w:p w14:paraId="607DD015" w14:textId="77777777" w:rsidR="009D0ADC" w:rsidRDefault="00D24F57">
      <w:pPr>
        <w:pStyle w:val="NormalWeb"/>
      </w:pPr>
      <w:r>
        <w:rPr>
          <w:b/>
          <w:bCs/>
        </w:rPr>
        <w:t>I. Le cadre général du budget</w:t>
      </w:r>
    </w:p>
    <w:p w14:paraId="7257ABD0" w14:textId="4A7AC790" w:rsidR="009D0ADC" w:rsidRDefault="00D24F57">
      <w:pPr>
        <w:pStyle w:val="NormalWeb"/>
      </w:pPr>
      <w:r>
        <w:t>Le budget primitif retrace l’ensemble des dépenses et des recettes autorisées et prévues pour l’année 20</w:t>
      </w:r>
      <w:r w:rsidR="00D40971">
        <w:t>20</w:t>
      </w:r>
      <w:r>
        <w:t>. Il respecte les principes budgétaires : annualité, universalité, unité, équilibre, sincérité.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l’État dans les 15 jours qui suivent son approbation. Par cet acte, le maire, ordonnateur est autorisé à effectuer les opérations de recettes et de dépenses inscrites au budget, pour la période qui s’étend du 1er janvier au 31 décembre de l’année civile.</w:t>
      </w:r>
    </w:p>
    <w:p w14:paraId="28673C01" w14:textId="66041E40" w:rsidR="009D0ADC" w:rsidRDefault="00D24F57">
      <w:pPr>
        <w:pStyle w:val="NormalWeb"/>
      </w:pPr>
      <w:r>
        <w:t>Le budget 20</w:t>
      </w:r>
      <w:r w:rsidR="00D40971">
        <w:t>20</w:t>
      </w:r>
      <w:r>
        <w:t xml:space="preserve"> a été voté le </w:t>
      </w:r>
      <w:r w:rsidR="00D40971">
        <w:t>06</w:t>
      </w:r>
      <w:r>
        <w:t xml:space="preserve"> </w:t>
      </w:r>
      <w:r w:rsidR="00D40971">
        <w:t>février</w:t>
      </w:r>
      <w:r>
        <w:t xml:space="preserve"> 20</w:t>
      </w:r>
      <w:r w:rsidR="00D40971">
        <w:t>20</w:t>
      </w:r>
      <w:r>
        <w:t xml:space="preserve"> par le conseil municipal. Il peut être consulté sur simple demande au secrétariat de la mairie aux heures d’ouvertures. Il a été établi avec la volonté :</w:t>
      </w:r>
    </w:p>
    <w:p w14:paraId="1B75CC81" w14:textId="77777777" w:rsidR="009D0ADC" w:rsidRDefault="00D24F57">
      <w:pPr>
        <w:pStyle w:val="NormalWeb"/>
      </w:pPr>
      <w:r>
        <w:t>- De maîtriser les dépenses de fonctionnement tout en maintenant le niveau et la qualité des services rendus aux habitants ;</w:t>
      </w:r>
      <w:r>
        <w:br/>
        <w:t>- De contenir la dette en limitant le recours à l’emprunt ;</w:t>
      </w:r>
      <w:r>
        <w:br/>
        <w:t>- De mobiliser des subventions auprès du Conseil Départemental et de la Région chaque fois que possible.</w:t>
      </w:r>
    </w:p>
    <w:p w14:paraId="1133380C" w14:textId="3555B3EF" w:rsidR="00885213" w:rsidRDefault="00885213">
      <w:pPr>
        <w:pStyle w:val="NormalWeb"/>
      </w:pPr>
      <w:r>
        <w:t>- De ne pas faire recours à l’</w:t>
      </w:r>
      <w:r w:rsidR="00F50A9D">
        <w:t>au</w:t>
      </w:r>
      <w:r>
        <w:t>gmentation</w:t>
      </w:r>
      <w:r w:rsidR="00F50A9D">
        <w:t xml:space="preserve"> </w:t>
      </w:r>
      <w:r>
        <w:t xml:space="preserve">des </w:t>
      </w:r>
      <w:r w:rsidR="00F50A9D">
        <w:t>impôts</w:t>
      </w:r>
      <w:r>
        <w:t xml:space="preserve"> locaux</w:t>
      </w:r>
      <w:r w:rsidR="00E216BB">
        <w:t xml:space="preserve"> et cela depuis dix ans</w:t>
      </w:r>
    </w:p>
    <w:p w14:paraId="74F9ED43" w14:textId="3C3ADF0E" w:rsidR="009D0ADC" w:rsidRDefault="00D24F57">
      <w:pPr>
        <w:pStyle w:val="NormalWeb"/>
      </w:pPr>
      <w:r>
        <w:t>Les sections de fonctionnement et investissement structurent le budget de notre collectivité. D'un côté, la gestion des affaires courantes (ou section de fonctionnement), incluant notamment le versement des salaires des agents de la Commune ; de l'autre, la section d'investissement qui a vocation à préparer l'avenir.</w:t>
      </w:r>
    </w:p>
    <w:p w14:paraId="398BEB23" w14:textId="77777777" w:rsidR="00AE73FB" w:rsidRDefault="00AE73FB">
      <w:pPr>
        <w:pStyle w:val="NormalWeb"/>
      </w:pPr>
    </w:p>
    <w:p w14:paraId="3310196E" w14:textId="77777777" w:rsidR="009D0ADC" w:rsidRDefault="00D24F57">
      <w:pPr>
        <w:pStyle w:val="NormalWeb"/>
      </w:pPr>
      <w:r>
        <w:rPr>
          <w:b/>
          <w:bCs/>
        </w:rPr>
        <w:lastRenderedPageBreak/>
        <w:t>II. La section de fonctionnement</w:t>
      </w:r>
    </w:p>
    <w:p w14:paraId="0BAC4EA1" w14:textId="77777777" w:rsidR="009D0ADC" w:rsidRDefault="00D24F57">
      <w:pPr>
        <w:pStyle w:val="NormalWeb"/>
      </w:pPr>
      <w:r>
        <w:t>a) Généralités</w:t>
      </w:r>
    </w:p>
    <w:p w14:paraId="6C513CC5" w14:textId="77777777" w:rsidR="009D0ADC" w:rsidRDefault="00D24F57">
      <w:pPr>
        <w:pStyle w:val="NormalWeb"/>
      </w:pPr>
      <w:r>
        <w:t>Le budget de fonctionnement permet à notre collectivité d’assurer le quotidien.</w:t>
      </w:r>
    </w:p>
    <w:p w14:paraId="039539F2" w14:textId="77777777" w:rsidR="009D0ADC" w:rsidRDefault="00D24F57">
      <w:pPr>
        <w:pStyle w:val="NormalWeb"/>
      </w:pPr>
      <w:r>
        <w:t>La section de fonctionnement regroupe l'ensemble des dépenses et des recettes nécessaires au fonctionnement courant et récurrent des services communaux. C’est un peu comme le budget d’une famille : le salaire des parents d’un côté et toutes les dépenses quotidiennes de l’autre (alimentation, loisirs, santé, impôts, remboursement des crédits…).</w:t>
      </w:r>
    </w:p>
    <w:p w14:paraId="0EDCAD71" w14:textId="77777777" w:rsidR="009D0ADC" w:rsidRDefault="00D24F57">
      <w:pPr>
        <w:pStyle w:val="NormalWeb"/>
      </w:pPr>
      <w:r>
        <w:t>Pour notre commune :</w:t>
      </w:r>
    </w:p>
    <w:p w14:paraId="42F68831" w14:textId="4ECBC318" w:rsidR="009D0ADC" w:rsidRDefault="00D24F57">
      <w:pPr>
        <w:pStyle w:val="NormalWeb"/>
      </w:pPr>
      <w:r>
        <w:t>Les recettes de fonctionnement correspondent aux sommes encaissées au titre des prestations fournies à la population (cantine, garderie…), aux impôts locaux, aux dotations versées par l'</w:t>
      </w:r>
      <w:r w:rsidR="00D40971">
        <w:t>État</w:t>
      </w:r>
      <w:r>
        <w:t>, à diverses subventions.</w:t>
      </w:r>
    </w:p>
    <w:p w14:paraId="06D385DD" w14:textId="2EC972D3" w:rsidR="009D0ADC" w:rsidRDefault="00D24F57">
      <w:pPr>
        <w:pStyle w:val="NormalWeb"/>
      </w:pPr>
      <w:r>
        <w:t>Les recettes de fonctionnement 20</w:t>
      </w:r>
      <w:r w:rsidR="00AF4C3E">
        <w:t>20</w:t>
      </w:r>
      <w:r>
        <w:t xml:space="preserve"> représentent </w:t>
      </w:r>
      <w:r w:rsidR="006834F3">
        <w:t xml:space="preserve">1 </w:t>
      </w:r>
      <w:r w:rsidR="00AF4C3E">
        <w:t>1</w:t>
      </w:r>
      <w:r w:rsidR="00D40971">
        <w:t>38</w:t>
      </w:r>
      <w:r w:rsidR="005E0887">
        <w:t xml:space="preserve"> 527</w:t>
      </w:r>
      <w:r>
        <w:t xml:space="preserve"> euros.</w:t>
      </w:r>
    </w:p>
    <w:p w14:paraId="7BC31C63" w14:textId="77777777" w:rsidR="009D0ADC" w:rsidRDefault="00D24F57">
      <w:pPr>
        <w:pStyle w:val="NormalWeb"/>
      </w:pPr>
      <w: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et les intérêts des emprunts à payer.</w:t>
      </w:r>
    </w:p>
    <w:p w14:paraId="07250F82" w14:textId="0C3B12E4" w:rsidR="009D0ADC" w:rsidRDefault="00D24F57">
      <w:pPr>
        <w:pStyle w:val="NormalWeb"/>
      </w:pPr>
      <w:r>
        <w:t>L</w:t>
      </w:r>
      <w:r w:rsidR="003800BD">
        <w:t xml:space="preserve">es salaires représentent </w:t>
      </w:r>
      <w:r w:rsidR="00AF4C3E">
        <w:t>384 000</w:t>
      </w:r>
      <w:r>
        <w:t xml:space="preserve"> euros des dépenses de fonctionnement de la Commune.</w:t>
      </w:r>
    </w:p>
    <w:p w14:paraId="33D0A659" w14:textId="687798EE" w:rsidR="009D0ADC" w:rsidRDefault="00D24F57">
      <w:pPr>
        <w:pStyle w:val="NormalWeb"/>
      </w:pPr>
      <w:r>
        <w:t>Les dépenses de fonctionnement 20</w:t>
      </w:r>
      <w:r w:rsidR="00AF4C3E">
        <w:t>20</w:t>
      </w:r>
      <w:r>
        <w:t xml:space="preserve"> représentent </w:t>
      </w:r>
      <w:r w:rsidR="005E0887">
        <w:t>683 563</w:t>
      </w:r>
      <w:r>
        <w:t xml:space="preserve"> euros</w:t>
      </w:r>
    </w:p>
    <w:p w14:paraId="668A800B" w14:textId="77777777" w:rsidR="009D0ADC" w:rsidRDefault="00D24F57">
      <w:pPr>
        <w:pStyle w:val="NormalWeb"/>
      </w:pPr>
      <w:r>
        <w:t>Au final, l'écart entre le volume total des recettes de fonctionnement et celui des dépenses de fonctionnement constitue l'autofinancement, c'est-à-dire la capacité de la Commune à financer elle-même ses projets d'investissement sans recourir nécessairement à un emprunt nouveau.</w:t>
      </w:r>
    </w:p>
    <w:p w14:paraId="6A5F0C6C" w14:textId="77777777" w:rsidR="009D0ADC" w:rsidRDefault="00D24F57">
      <w:pPr>
        <w:pStyle w:val="NormalWeb"/>
      </w:pPr>
      <w:r>
        <w:t>Il existe trois principaux types de recettes pour une Commune :</w:t>
      </w:r>
    </w:p>
    <w:p w14:paraId="5B6C70B0" w14:textId="35547FBA" w:rsidR="00F50A9D" w:rsidRDefault="00D24F57">
      <w:pPr>
        <w:pStyle w:val="NormalWeb"/>
      </w:pPr>
      <w:r>
        <w:t>- Les impôts locaux (montant total à mentionner pour 201</w:t>
      </w:r>
      <w:r w:rsidR="00AF4C3E">
        <w:t>9</w:t>
      </w:r>
      <w:r>
        <w:t xml:space="preserve"> et prévision 20</w:t>
      </w:r>
      <w:r w:rsidR="00AF4C3E">
        <w:t>20</w:t>
      </w:r>
      <w:r>
        <w:t>)</w:t>
      </w:r>
      <w:r w:rsidR="00F50A9D">
        <w:t> :</w:t>
      </w:r>
    </w:p>
    <w:p w14:paraId="07190AE4" w14:textId="4950656C" w:rsidR="00AE73FB" w:rsidRDefault="00F50A9D">
      <w:pPr>
        <w:pStyle w:val="NormalWeb"/>
      </w:pPr>
      <w:r>
        <w:t>201</w:t>
      </w:r>
      <w:r w:rsidR="00AF4C3E">
        <w:t>9</w:t>
      </w:r>
      <w:r>
        <w:t xml:space="preserve"> = </w:t>
      </w:r>
      <w:r w:rsidR="00AF4C3E">
        <w:t>280 106</w:t>
      </w:r>
      <w:r>
        <w:t xml:space="preserve"> €   </w:t>
      </w:r>
      <w:r w:rsidR="003800BD">
        <w:t xml:space="preserve">           </w:t>
      </w:r>
      <w:r>
        <w:t>20</w:t>
      </w:r>
      <w:r w:rsidR="00AF4C3E">
        <w:t>20</w:t>
      </w:r>
      <w:r>
        <w:t xml:space="preserve"> = </w:t>
      </w:r>
      <w:r w:rsidR="00AF4C3E">
        <w:t>280 000</w:t>
      </w:r>
      <w:r>
        <w:t xml:space="preserve"> €</w:t>
      </w:r>
      <w:r w:rsidR="00D24F57">
        <w:br/>
      </w:r>
    </w:p>
    <w:p w14:paraId="6A2BE787" w14:textId="1D314B0E" w:rsidR="00F50A9D" w:rsidRDefault="00D24F57">
      <w:pPr>
        <w:pStyle w:val="NormalWeb"/>
      </w:pPr>
      <w:r>
        <w:t>- Les dotations versées par l'Etat</w:t>
      </w:r>
      <w:r w:rsidR="00F50A9D">
        <w:t> :</w:t>
      </w:r>
    </w:p>
    <w:p w14:paraId="75FE37EB" w14:textId="2C4FBE0C" w:rsidR="00AE73FB" w:rsidRDefault="00F50A9D">
      <w:pPr>
        <w:pStyle w:val="NormalWeb"/>
      </w:pPr>
      <w:bookmarkStart w:id="0" w:name="OLE_LINK1"/>
      <w:r>
        <w:t>201</w:t>
      </w:r>
      <w:r w:rsidR="00813394">
        <w:t>9</w:t>
      </w:r>
      <w:r>
        <w:t xml:space="preserve"> = </w:t>
      </w:r>
      <w:r w:rsidR="00813394">
        <w:t>160 812</w:t>
      </w:r>
      <w:r>
        <w:t xml:space="preserve"> €  </w:t>
      </w:r>
      <w:bookmarkEnd w:id="0"/>
      <w:r w:rsidR="003800BD">
        <w:t xml:space="preserve">            </w:t>
      </w:r>
      <w:r>
        <w:t>20</w:t>
      </w:r>
      <w:r w:rsidR="00813394">
        <w:t>20</w:t>
      </w:r>
      <w:r>
        <w:t xml:space="preserve"> = </w:t>
      </w:r>
      <w:r w:rsidR="00813394">
        <w:t xml:space="preserve">156 </w:t>
      </w:r>
      <w:r w:rsidR="00AE73FB">
        <w:t>8</w:t>
      </w:r>
      <w:r w:rsidR="00813394">
        <w:t>00</w:t>
      </w:r>
      <w:r>
        <w:t xml:space="preserve"> €,  </w:t>
      </w:r>
      <w:r w:rsidR="00D24F57">
        <w:br/>
      </w:r>
    </w:p>
    <w:p w14:paraId="315E0CD9" w14:textId="66C38625" w:rsidR="009D0ADC" w:rsidRDefault="00D24F57">
      <w:pPr>
        <w:pStyle w:val="NormalWeb"/>
        <w:rPr>
          <w:i/>
          <w:iCs/>
        </w:rPr>
      </w:pPr>
      <w:r>
        <w:t>- Les recettes encaissées au titre des prestations fournies à la population </w:t>
      </w:r>
      <w:r>
        <w:rPr>
          <w:i/>
          <w:iCs/>
        </w:rPr>
        <w:t>(les 3 dernières années)</w:t>
      </w:r>
      <w:r w:rsidR="00F50A9D">
        <w:rPr>
          <w:i/>
          <w:iCs/>
        </w:rPr>
        <w:t> :</w:t>
      </w:r>
    </w:p>
    <w:p w14:paraId="001F9C67" w14:textId="0A3A95B9" w:rsidR="00F50A9D" w:rsidRPr="00F50A9D" w:rsidRDefault="00F50A9D">
      <w:pPr>
        <w:pStyle w:val="NormalWeb"/>
      </w:pPr>
      <w:r>
        <w:rPr>
          <w:iCs/>
        </w:rPr>
        <w:t xml:space="preserve">2017 = 91 575 </w:t>
      </w:r>
      <w:r w:rsidR="003800BD">
        <w:rPr>
          <w:iCs/>
        </w:rPr>
        <w:t>€</w:t>
      </w:r>
      <w:r>
        <w:rPr>
          <w:iCs/>
        </w:rPr>
        <w:t xml:space="preserve"> </w:t>
      </w:r>
      <w:r w:rsidR="003800BD">
        <w:rPr>
          <w:iCs/>
        </w:rPr>
        <w:t xml:space="preserve">              </w:t>
      </w:r>
      <w:r>
        <w:rPr>
          <w:iCs/>
        </w:rPr>
        <w:t>2018 = 7</w:t>
      </w:r>
      <w:r w:rsidR="00AE73FB">
        <w:rPr>
          <w:iCs/>
        </w:rPr>
        <w:t>5</w:t>
      </w:r>
      <w:r>
        <w:rPr>
          <w:iCs/>
        </w:rPr>
        <w:t xml:space="preserve"> 760 </w:t>
      </w:r>
      <w:r w:rsidR="003800BD">
        <w:rPr>
          <w:iCs/>
        </w:rPr>
        <w:t>€</w:t>
      </w:r>
      <w:r w:rsidR="00813394">
        <w:rPr>
          <w:iCs/>
        </w:rPr>
        <w:t>.          2019 = 76</w:t>
      </w:r>
      <w:r w:rsidR="00AE73FB">
        <w:rPr>
          <w:iCs/>
        </w:rPr>
        <w:t xml:space="preserve"> </w:t>
      </w:r>
      <w:r w:rsidR="00813394">
        <w:rPr>
          <w:iCs/>
        </w:rPr>
        <w:t>760€</w:t>
      </w:r>
    </w:p>
    <w:p w14:paraId="57BFDE67" w14:textId="77777777" w:rsidR="009D0ADC" w:rsidRDefault="00D24F57">
      <w:pPr>
        <w:pStyle w:val="NormalWeb"/>
      </w:pPr>
      <w:r>
        <w:t>b) Les principales dépenses et recettes de la section Fonctionnement :</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50"/>
        <w:gridCol w:w="914"/>
        <w:gridCol w:w="3559"/>
        <w:gridCol w:w="929"/>
      </w:tblGrid>
      <w:tr w:rsidR="009D0ADC" w14:paraId="3E70EB93"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C3FE17" w14:textId="77777777" w:rsidR="009D0ADC" w:rsidRDefault="00D24F57">
            <w:pPr>
              <w:pStyle w:val="NormalWeb"/>
            </w:pPr>
            <w:r>
              <w:lastRenderedPageBreak/>
              <w:t>Dépenses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7F7BD6D" w14:textId="77777777" w:rsidR="009D0ADC" w:rsidRDefault="00D24F57">
            <w:pPr>
              <w:pStyle w:val="NormalWeb"/>
            </w:pPr>
            <w:r>
              <w:t>Montant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2AEF37" w14:textId="1BF9428A" w:rsidR="009D0ADC" w:rsidRDefault="000D021E">
            <w:pPr>
              <w:pStyle w:val="NormalWeb"/>
            </w:pPr>
            <w:r>
              <w:t>R</w:t>
            </w:r>
            <w:r w:rsidR="00D24F57">
              <w:t>ecettes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27EB0B" w14:textId="77777777" w:rsidR="009D0ADC" w:rsidRDefault="00D24F57">
            <w:pPr>
              <w:pStyle w:val="NormalWeb"/>
            </w:pPr>
            <w:r>
              <w:t>Montant</w:t>
            </w:r>
          </w:p>
        </w:tc>
      </w:tr>
      <w:tr w:rsidR="009D0ADC" w14:paraId="6EDBD737"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0A336F" w14:textId="77777777" w:rsidR="009D0ADC" w:rsidRDefault="00D24F57">
            <w:pPr>
              <w:pStyle w:val="NormalWeb"/>
            </w:pPr>
            <w:r>
              <w:t>Dépenses courantes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63D24F" w14:textId="754B9959" w:rsidR="009D0ADC" w:rsidRDefault="00813394" w:rsidP="003800BD">
            <w:pPr>
              <w:pStyle w:val="NormalWeb"/>
            </w:pPr>
            <w:r>
              <w:t>204 480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880841" w14:textId="77777777" w:rsidR="009D0ADC" w:rsidRDefault="00D24F57">
            <w:pPr>
              <w:pStyle w:val="NormalWeb"/>
            </w:pPr>
            <w:r>
              <w:t>Excédent brut reporté</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B15A23" w14:textId="6921CC84" w:rsidR="009D0ADC" w:rsidRDefault="007B035C">
            <w:pPr>
              <w:rPr>
                <w:rFonts w:ascii="Times New Roman" w:eastAsia="Times New Roman" w:hAnsi="Times New Roman"/>
                <w:sz w:val="20"/>
                <w:szCs w:val="20"/>
              </w:rPr>
            </w:pPr>
            <w:r>
              <w:rPr>
                <w:rFonts w:ascii="Times New Roman" w:eastAsia="Times New Roman" w:hAnsi="Times New Roman"/>
                <w:sz w:val="20"/>
                <w:szCs w:val="20"/>
              </w:rPr>
              <w:t>558 557</w:t>
            </w:r>
          </w:p>
        </w:tc>
      </w:tr>
      <w:tr w:rsidR="009D0ADC" w14:paraId="745BB627"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DC4568" w14:textId="77777777" w:rsidR="009D0ADC" w:rsidRDefault="00D24F57">
            <w:pPr>
              <w:pStyle w:val="NormalWeb"/>
            </w:pPr>
            <w:r>
              <w:t>Dépenses de personnel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75F53F6" w14:textId="49944CEC" w:rsidR="009D0ADC" w:rsidRDefault="00813394">
            <w:pPr>
              <w:pStyle w:val="NormalWeb"/>
            </w:pPr>
            <w:r>
              <w:t>384 000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24F283" w14:textId="77777777" w:rsidR="009D0ADC" w:rsidRDefault="00D24F57">
            <w:pPr>
              <w:pStyle w:val="NormalWeb"/>
            </w:pPr>
            <w:r>
              <w:t>Recettes des services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787CE2" w14:textId="7C620640" w:rsidR="009D0ADC" w:rsidRDefault="00C033DB">
            <w:pPr>
              <w:rPr>
                <w:rFonts w:ascii="Times New Roman" w:eastAsia="Times New Roman" w:hAnsi="Times New Roman"/>
                <w:sz w:val="20"/>
                <w:szCs w:val="20"/>
              </w:rPr>
            </w:pPr>
            <w:r>
              <w:rPr>
                <w:rFonts w:ascii="Times New Roman" w:eastAsia="Times New Roman" w:hAnsi="Times New Roman"/>
                <w:sz w:val="20"/>
                <w:szCs w:val="20"/>
              </w:rPr>
              <w:t>75 700</w:t>
            </w:r>
          </w:p>
        </w:tc>
      </w:tr>
      <w:tr w:rsidR="009D0ADC" w14:paraId="44624AA1"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67DE04" w14:textId="77777777" w:rsidR="009D0ADC" w:rsidRDefault="00D24F57">
            <w:pPr>
              <w:pStyle w:val="NormalWeb"/>
            </w:pPr>
            <w:r>
              <w:t>Autres dépenses de gestion courante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BD365E" w14:textId="3CB33AB0" w:rsidR="009D0ADC" w:rsidRDefault="00C033DB">
            <w:pPr>
              <w:pStyle w:val="NormalWeb"/>
            </w:pPr>
            <w:r>
              <w:t>79 3</w:t>
            </w:r>
            <w:r w:rsidR="00AE73FB">
              <w:t>93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DB71D1" w14:textId="77777777" w:rsidR="009D0ADC" w:rsidRDefault="00D24F57">
            <w:pPr>
              <w:pStyle w:val="NormalWeb"/>
            </w:pPr>
            <w:r>
              <w:t>Impôts et taxes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AA2536" w14:textId="3F0DE928" w:rsidR="009D0ADC" w:rsidRDefault="00C033DB">
            <w:pPr>
              <w:rPr>
                <w:rFonts w:ascii="Times New Roman" w:eastAsia="Times New Roman" w:hAnsi="Times New Roman"/>
                <w:sz w:val="20"/>
                <w:szCs w:val="20"/>
              </w:rPr>
            </w:pPr>
            <w:r>
              <w:rPr>
                <w:rFonts w:ascii="Times New Roman" w:eastAsia="Times New Roman" w:hAnsi="Times New Roman"/>
                <w:sz w:val="20"/>
                <w:szCs w:val="20"/>
              </w:rPr>
              <w:t>307 270</w:t>
            </w:r>
          </w:p>
        </w:tc>
      </w:tr>
      <w:tr w:rsidR="009D0ADC" w14:paraId="1E43AAD1"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D5DD4E" w14:textId="77777777" w:rsidR="009D0ADC" w:rsidRDefault="00D24F57">
            <w:pPr>
              <w:pStyle w:val="NormalWeb"/>
            </w:pPr>
            <w:r>
              <w:t>Dépenses financières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97B281" w14:textId="77777777" w:rsidR="009D0ADC" w:rsidRDefault="00D24F57">
            <w:pPr>
              <w:pStyle w:val="NormalWeb"/>
            </w:pPr>
            <w:r>
              <w:t>15 690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A7EF69" w14:textId="77777777" w:rsidR="009D0ADC" w:rsidRDefault="00D24F57">
            <w:pPr>
              <w:pStyle w:val="NormalWeb"/>
            </w:pPr>
            <w:r>
              <w:t>Dotations et participations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983C07" w14:textId="108E558D" w:rsidR="009D0ADC" w:rsidRDefault="00C033DB" w:rsidP="003800BD">
            <w:pPr>
              <w:rPr>
                <w:rFonts w:ascii="Times New Roman" w:eastAsia="Times New Roman" w:hAnsi="Times New Roman"/>
                <w:sz w:val="20"/>
                <w:szCs w:val="20"/>
              </w:rPr>
            </w:pPr>
            <w:r>
              <w:rPr>
                <w:rFonts w:ascii="Times New Roman" w:eastAsia="Times New Roman" w:hAnsi="Times New Roman"/>
                <w:sz w:val="20"/>
                <w:szCs w:val="20"/>
              </w:rPr>
              <w:t>156 800</w:t>
            </w:r>
          </w:p>
        </w:tc>
      </w:tr>
      <w:tr w:rsidR="009D0ADC" w14:paraId="294BAC2F"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FCD856" w14:textId="77777777" w:rsidR="009D0ADC" w:rsidRDefault="00D24F57">
            <w:pPr>
              <w:pStyle w:val="NormalWeb"/>
            </w:pPr>
            <w:r>
              <w:t>Dépenses exceptionnelles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042EDD" w14:textId="77777777" w:rsidR="009D0ADC" w:rsidRDefault="009D0ADC">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86A309" w14:textId="77777777" w:rsidR="009D0ADC" w:rsidRDefault="00D24F57">
            <w:pPr>
              <w:pStyle w:val="NormalWeb"/>
            </w:pPr>
            <w:r>
              <w:t>Autres recettes de gestion courante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296670" w14:textId="35E3F1E5" w:rsidR="009D0ADC" w:rsidRDefault="00C033DB">
            <w:pPr>
              <w:rPr>
                <w:rFonts w:ascii="Times New Roman" w:eastAsia="Times New Roman" w:hAnsi="Times New Roman"/>
                <w:sz w:val="20"/>
                <w:szCs w:val="20"/>
              </w:rPr>
            </w:pPr>
            <w:r>
              <w:rPr>
                <w:rFonts w:ascii="Times New Roman" w:eastAsia="Times New Roman" w:hAnsi="Times New Roman"/>
                <w:sz w:val="20"/>
                <w:szCs w:val="20"/>
              </w:rPr>
              <w:t>20200</w:t>
            </w:r>
          </w:p>
        </w:tc>
      </w:tr>
      <w:tr w:rsidR="009D0ADC" w14:paraId="09AE1D28"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7194437" w14:textId="77777777" w:rsidR="009D0ADC" w:rsidRDefault="00D24F57">
            <w:pPr>
              <w:pStyle w:val="NormalWeb"/>
            </w:pPr>
            <w:r>
              <w:t>Autres dépenses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5AD435" w14:textId="3D033EA8" w:rsidR="009D0ADC" w:rsidRDefault="009D0ADC">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8BFA7A" w14:textId="77777777" w:rsidR="009D0ADC" w:rsidRDefault="00D24F57">
            <w:pPr>
              <w:pStyle w:val="NormalWeb"/>
            </w:pPr>
            <w:r>
              <w:t>Recettes exceptionnelles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14F2A9" w14:textId="77777777" w:rsidR="009D0ADC" w:rsidRDefault="009D0ADC">
            <w:pPr>
              <w:rPr>
                <w:rFonts w:ascii="Times New Roman" w:eastAsia="Times New Roman" w:hAnsi="Times New Roman"/>
                <w:sz w:val="20"/>
                <w:szCs w:val="20"/>
              </w:rPr>
            </w:pPr>
          </w:p>
        </w:tc>
      </w:tr>
      <w:tr w:rsidR="009D0ADC" w14:paraId="0AEE3B89"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A14040" w14:textId="77777777" w:rsidR="009D0ADC" w:rsidRDefault="00D24F57">
            <w:pPr>
              <w:pStyle w:val="NormalWeb"/>
            </w:pPr>
            <w:r>
              <w:t>Dépenses imprévues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2AC45A" w14:textId="77777777" w:rsidR="009D0ADC" w:rsidRDefault="009D0ADC">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BB4FCB" w14:textId="77777777" w:rsidR="009D0ADC" w:rsidRDefault="00D24F57">
            <w:pPr>
              <w:pStyle w:val="NormalWeb"/>
            </w:pPr>
            <w:r>
              <w:t>Recettes financières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F0E0D6" w14:textId="77777777" w:rsidR="009D0ADC" w:rsidRDefault="009D0ADC">
            <w:pPr>
              <w:rPr>
                <w:rFonts w:ascii="Times New Roman" w:eastAsia="Times New Roman" w:hAnsi="Times New Roman"/>
                <w:sz w:val="20"/>
                <w:szCs w:val="20"/>
              </w:rPr>
            </w:pPr>
          </w:p>
        </w:tc>
      </w:tr>
      <w:tr w:rsidR="009D0ADC" w14:paraId="5C23716D"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06EB688" w14:textId="77777777" w:rsidR="009D0ADC" w:rsidRDefault="00D24F57">
            <w:pPr>
              <w:pStyle w:val="NormalWeb"/>
            </w:pPr>
            <w:r>
              <w:t>Total dépenses réelles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5D6F59" w14:textId="34A1AC09" w:rsidR="009D0ADC" w:rsidRDefault="00C033DB">
            <w:pPr>
              <w:rPr>
                <w:rFonts w:ascii="Times New Roman" w:eastAsia="Times New Roman" w:hAnsi="Times New Roman"/>
                <w:sz w:val="20"/>
                <w:szCs w:val="20"/>
              </w:rPr>
            </w:pPr>
            <w:r>
              <w:rPr>
                <w:rFonts w:ascii="Times New Roman" w:eastAsia="Times New Roman" w:hAnsi="Times New Roman"/>
                <w:sz w:val="20"/>
                <w:szCs w:val="20"/>
              </w:rPr>
              <w:t>683 5</w:t>
            </w:r>
            <w:r w:rsidR="00AE73FB">
              <w:rPr>
                <w:rFonts w:ascii="Times New Roman" w:eastAsia="Times New Roman" w:hAnsi="Times New Roman"/>
                <w:sz w:val="20"/>
                <w:szCs w:val="20"/>
              </w:rPr>
              <w:t>63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585918F" w14:textId="77777777" w:rsidR="009D0ADC" w:rsidRDefault="00D24F57">
            <w:pPr>
              <w:pStyle w:val="NormalWeb"/>
            </w:pPr>
            <w:r>
              <w:t>Autres recettes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2DE7D3" w14:textId="69F55329" w:rsidR="009D0ADC" w:rsidRDefault="00D042E4">
            <w:pPr>
              <w:rPr>
                <w:rFonts w:ascii="Times New Roman" w:eastAsia="Times New Roman" w:hAnsi="Times New Roman"/>
                <w:sz w:val="20"/>
                <w:szCs w:val="20"/>
              </w:rPr>
            </w:pPr>
            <w:r>
              <w:rPr>
                <w:rFonts w:ascii="Times New Roman" w:eastAsia="Times New Roman" w:hAnsi="Times New Roman"/>
                <w:sz w:val="20"/>
                <w:szCs w:val="20"/>
              </w:rPr>
              <w:t>20 000</w:t>
            </w:r>
          </w:p>
        </w:tc>
      </w:tr>
      <w:tr w:rsidR="009D0ADC" w14:paraId="5F203540"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C35264" w14:textId="77777777" w:rsidR="009D0ADC" w:rsidRDefault="00D24F57">
            <w:pPr>
              <w:pStyle w:val="NormalWeb"/>
            </w:pPr>
            <w:r>
              <w:t>Charges (écritures d’ordre entre sections)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E3CA078" w14:textId="4839E14B" w:rsidR="009D0ADC" w:rsidRDefault="000D021E">
            <w:pPr>
              <w:rPr>
                <w:rFonts w:ascii="Times New Roman" w:eastAsia="Times New Roman" w:hAnsi="Times New Roman"/>
                <w:sz w:val="20"/>
                <w:szCs w:val="20"/>
              </w:rPr>
            </w:pPr>
            <w:r>
              <w:rPr>
                <w:rFonts w:ascii="Times New Roman" w:eastAsia="Times New Roman" w:hAnsi="Times New Roman"/>
                <w:sz w:val="20"/>
                <w:szCs w:val="20"/>
              </w:rPr>
              <w:t>8 473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E4E2C7" w14:textId="77777777" w:rsidR="009D0ADC" w:rsidRDefault="00D24F57">
            <w:pPr>
              <w:pStyle w:val="NormalWeb"/>
            </w:pPr>
            <w:r>
              <w:t>Total recettes réelles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DCB532" w14:textId="21AFB94D" w:rsidR="009D0ADC" w:rsidRDefault="00C033DB">
            <w:pPr>
              <w:rPr>
                <w:rFonts w:ascii="Times New Roman" w:eastAsia="Times New Roman" w:hAnsi="Times New Roman"/>
                <w:sz w:val="20"/>
                <w:szCs w:val="20"/>
              </w:rPr>
            </w:pPr>
            <w:r>
              <w:rPr>
                <w:rFonts w:ascii="Times New Roman" w:eastAsia="Times New Roman" w:hAnsi="Times New Roman"/>
                <w:sz w:val="20"/>
                <w:szCs w:val="20"/>
              </w:rPr>
              <w:t>579 970</w:t>
            </w:r>
          </w:p>
        </w:tc>
      </w:tr>
      <w:tr w:rsidR="009D0ADC" w14:paraId="3B433271"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A7BC47" w14:textId="77777777" w:rsidR="009D0ADC" w:rsidRDefault="00D24F57">
            <w:pPr>
              <w:pStyle w:val="NormalWeb"/>
            </w:pPr>
            <w:r>
              <w:t>Virement à la section d’investissement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EEDC70" w14:textId="0A4F212B" w:rsidR="009D0ADC" w:rsidRDefault="00C033DB">
            <w:pPr>
              <w:pStyle w:val="NormalWeb"/>
            </w:pPr>
            <w:r>
              <w:t>4</w:t>
            </w:r>
            <w:r w:rsidR="00AE73FB">
              <w:t>46</w:t>
            </w:r>
            <w:r>
              <w:t xml:space="preserve"> </w:t>
            </w:r>
            <w:r w:rsidR="00AE73FB">
              <w:t>491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8B9D36" w14:textId="77777777" w:rsidR="009D0ADC" w:rsidRDefault="00D24F57">
            <w:pPr>
              <w:pStyle w:val="NormalWeb"/>
            </w:pPr>
            <w:r>
              <w:t>Produits (écritures d’ordre entre sections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1B095E" w14:textId="77777777" w:rsidR="009D0ADC" w:rsidRDefault="009D0ADC">
            <w:pPr>
              <w:rPr>
                <w:rFonts w:ascii="Times New Roman" w:eastAsia="Times New Roman" w:hAnsi="Times New Roman"/>
                <w:sz w:val="20"/>
                <w:szCs w:val="20"/>
              </w:rPr>
            </w:pPr>
          </w:p>
        </w:tc>
      </w:tr>
      <w:tr w:rsidR="009D0ADC" w14:paraId="38DEEC69"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F2E3FB" w14:textId="77777777" w:rsidR="009D0ADC" w:rsidRDefault="00D24F57">
            <w:pPr>
              <w:pStyle w:val="NormalWeb"/>
            </w:pPr>
            <w:r>
              <w:t>Total général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20E03C" w14:textId="7DF1B1CB" w:rsidR="009D0ADC" w:rsidRDefault="00C033DB" w:rsidP="003800BD">
            <w:pPr>
              <w:pStyle w:val="NormalWeb"/>
            </w:pPr>
            <w:r>
              <w:rPr>
                <w:sz w:val="20"/>
              </w:rPr>
              <w:t>1 1</w:t>
            </w:r>
            <w:r w:rsidR="00AE73FB">
              <w:rPr>
                <w:sz w:val="20"/>
              </w:rPr>
              <w:t>3</w:t>
            </w:r>
            <w:r>
              <w:rPr>
                <w:sz w:val="20"/>
              </w:rPr>
              <w:t>8 5</w:t>
            </w:r>
            <w:r w:rsidR="00AE73FB">
              <w:rPr>
                <w:sz w:val="20"/>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4745A6" w14:textId="77777777" w:rsidR="009D0ADC" w:rsidRDefault="00D24F57">
            <w:pPr>
              <w:pStyle w:val="NormalWeb"/>
            </w:pPr>
            <w:r>
              <w:t>Total général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47C1B5" w14:textId="113D57B9" w:rsidR="009D0ADC" w:rsidRDefault="00C033DB">
            <w:pPr>
              <w:rPr>
                <w:rFonts w:ascii="Times New Roman" w:eastAsia="Times New Roman" w:hAnsi="Times New Roman"/>
                <w:sz w:val="20"/>
                <w:szCs w:val="20"/>
              </w:rPr>
            </w:pPr>
            <w:r>
              <w:t>1 1</w:t>
            </w:r>
            <w:r w:rsidR="007B035C">
              <w:t>3</w:t>
            </w:r>
            <w:r>
              <w:t>8 5</w:t>
            </w:r>
            <w:r w:rsidR="00D042E4">
              <w:t>27</w:t>
            </w:r>
          </w:p>
        </w:tc>
      </w:tr>
    </w:tbl>
    <w:p w14:paraId="7F38AD3C" w14:textId="77777777" w:rsidR="009D0ADC" w:rsidRDefault="00D24F57">
      <w:pPr>
        <w:pStyle w:val="NormalWeb"/>
      </w:pPr>
      <w:r>
        <w:t>c) La fiscalité</w:t>
      </w:r>
    </w:p>
    <w:p w14:paraId="3C5AD6A0" w14:textId="77777777" w:rsidR="009D0ADC" w:rsidRDefault="00D24F57">
      <w:pPr>
        <w:pStyle w:val="NormalWeb"/>
      </w:pPr>
      <w:r>
        <w:t>Les taux des impôts locaux pour 2019 :</w:t>
      </w:r>
    </w:p>
    <w:p w14:paraId="0B880A2A" w14:textId="77777777" w:rsidR="009D0ADC" w:rsidRDefault="00D24F57">
      <w:pPr>
        <w:pStyle w:val="NormalWeb"/>
      </w:pPr>
      <w:r>
        <w:t>. Taxe d’habitation</w:t>
      </w:r>
      <w:r w:rsidR="00F50A9D">
        <w:t xml:space="preserve"> = 15,71</w:t>
      </w:r>
      <w:r>
        <w:br/>
        <w:t>. Taxe foncière sur le bâti</w:t>
      </w:r>
      <w:r w:rsidR="00F50A9D">
        <w:t xml:space="preserve"> = 18,31</w:t>
      </w:r>
      <w:r>
        <w:br/>
        <w:t>. Taxe foncière sur le non bâti</w:t>
      </w:r>
      <w:r w:rsidR="00F35EE6">
        <w:t xml:space="preserve"> : </w:t>
      </w:r>
      <w:r w:rsidR="00641E5C">
        <w:t>73,07</w:t>
      </w:r>
    </w:p>
    <w:p w14:paraId="5D5B5EA7" w14:textId="154B20F6" w:rsidR="004F3CDE" w:rsidRDefault="004F3CDE">
      <w:pPr>
        <w:pStyle w:val="NormalWeb"/>
      </w:pPr>
      <w:r>
        <w:t>TAUX CONSTANTS DEPUIS 10 ANS</w:t>
      </w:r>
    </w:p>
    <w:p w14:paraId="7CFAB15D" w14:textId="77777777" w:rsidR="009D0ADC" w:rsidRDefault="00D24F57">
      <w:pPr>
        <w:pStyle w:val="NormalWeb"/>
      </w:pPr>
      <w:r>
        <w:t>d) Les dotations de l’Etat.</w:t>
      </w:r>
    </w:p>
    <w:p w14:paraId="38734142" w14:textId="0F6C30B5" w:rsidR="009D0ADC" w:rsidRDefault="00D24F57">
      <w:pPr>
        <w:pStyle w:val="NormalWeb"/>
      </w:pPr>
      <w:r>
        <w:t xml:space="preserve">Les dotations attendues de l’Etat s’élèveront à </w:t>
      </w:r>
      <w:r w:rsidR="00D042E4" w:rsidRPr="00D042E4">
        <w:t>135 800</w:t>
      </w:r>
      <w:r w:rsidR="003800BD" w:rsidRPr="00D042E4">
        <w:t xml:space="preserve"> €</w:t>
      </w:r>
      <w:r w:rsidRPr="00D042E4">
        <w:t xml:space="preserve"> soit </w:t>
      </w:r>
      <w:r w:rsidR="00D042E4" w:rsidRPr="00D042E4">
        <w:t>une somme identique à l’année dernière</w:t>
      </w:r>
    </w:p>
    <w:p w14:paraId="389B6036" w14:textId="77777777" w:rsidR="009D0ADC" w:rsidRDefault="00D24F57">
      <w:pPr>
        <w:pStyle w:val="NormalWeb"/>
      </w:pPr>
      <w:r>
        <w:rPr>
          <w:b/>
          <w:bCs/>
        </w:rPr>
        <w:t>III. La section d’investissement</w:t>
      </w:r>
    </w:p>
    <w:p w14:paraId="3BC6CC49" w14:textId="77777777" w:rsidR="009D0ADC" w:rsidRDefault="00D24F57">
      <w:pPr>
        <w:pStyle w:val="NormalWeb"/>
      </w:pPr>
      <w:r>
        <w:t>a) Généralités</w:t>
      </w:r>
    </w:p>
    <w:p w14:paraId="5497F019" w14:textId="4BA469E6" w:rsidR="009D0ADC" w:rsidRDefault="00D24F57">
      <w:pPr>
        <w:pStyle w:val="NormalWeb"/>
      </w:pPr>
      <w:r>
        <w:t xml:space="preserve">Le budget d'investissement prépare l’avenir. Contrairement à la section de fonctionnement qui implique des notions de récurrence et de quotidienneté, la section d'investissement est liée aux projets de la ville à moyen ou long terme. Elle concerne des actions, dépenses ou recettes, à caractère exceptionnel. Pour un foyer, l’investissement a trait à tout ce qui contribue à accroître le patrimoine familial : achat d’un bien immobilier et travaux sur ce bien, acquisition d’un véhicule, </w:t>
      </w:r>
      <w:r w:rsidR="003800BD">
        <w:t>etc</w:t>
      </w:r>
      <w:r>
        <w:t>…</w:t>
      </w:r>
    </w:p>
    <w:p w14:paraId="63E2D848" w14:textId="369F9885" w:rsidR="009D0ADC" w:rsidRDefault="00D24F57">
      <w:pPr>
        <w:pStyle w:val="NormalWeb"/>
      </w:pPr>
      <w:r>
        <w:t xml:space="preserve">Le budget d’investissement de la </w:t>
      </w:r>
      <w:r w:rsidR="00BD7184">
        <w:t>commune</w:t>
      </w:r>
      <w:r>
        <w:t xml:space="preserve"> regroupe :</w:t>
      </w:r>
    </w:p>
    <w:p w14:paraId="10901CE6" w14:textId="77777777" w:rsidR="009D0ADC" w:rsidRDefault="00D24F57">
      <w:pPr>
        <w:pStyle w:val="NormalWeb"/>
      </w:pPr>
      <w:r>
        <w:t xml:space="preserve">- en dépenses : toutes les dépenses faisant varier durablement la valeur ou la consistance du patrimoine de la collectivité. Il s'agit notamment des acquisitions de mobilier, de matériel, </w:t>
      </w:r>
      <w:r>
        <w:lastRenderedPageBreak/>
        <w:t>d'informatique, de véhicules, de biens immobiliers, d'études et de travaux soit sur des structures déjà existantes, soit sur des structures en cours de création.</w:t>
      </w:r>
    </w:p>
    <w:p w14:paraId="03B155C3" w14:textId="3007002A" w:rsidR="009D0ADC" w:rsidRDefault="00D24F57">
      <w:pPr>
        <w:pStyle w:val="NormalWeb"/>
      </w:pPr>
      <w:r>
        <w:t xml:space="preserve">- en recettes : deux types de recettes coexistent : les recettes dites patrimoniales telles que les recettes perçues en lien avec les permis de construire (Taxe d’aménagement) et les subventions d'investissement perçues en lien avec les projets d'investissement retenus (par exemple : des subventions relatives à la construction d'un nouveau </w:t>
      </w:r>
      <w:r w:rsidR="00D042E4">
        <w:t>bâtiment</w:t>
      </w:r>
      <w:r>
        <w:t>, à la réfection du réseau d'éclairage public...).</w:t>
      </w:r>
    </w:p>
    <w:p w14:paraId="4533C1C7" w14:textId="77777777" w:rsidR="009D0ADC" w:rsidRDefault="00D24F57">
      <w:pPr>
        <w:pStyle w:val="NormalWeb"/>
      </w:pPr>
      <w:r>
        <w:t>b) Une vue d’ensemble de la section d’investissement</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93"/>
        <w:gridCol w:w="887"/>
        <w:gridCol w:w="3643"/>
        <w:gridCol w:w="929"/>
      </w:tblGrid>
      <w:tr w:rsidR="009D0ADC" w14:paraId="77E8AF4A"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9DC203" w14:textId="25F67EED" w:rsidR="009D0ADC" w:rsidRDefault="008B1C4C">
            <w:pPr>
              <w:pStyle w:val="NormalWeb"/>
            </w:pPr>
            <w:r>
              <w:t>D</w:t>
            </w:r>
            <w:r w:rsidR="00D24F57">
              <w:t>épenses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28DB4F" w14:textId="77777777" w:rsidR="009D0ADC" w:rsidRDefault="00D24F57">
            <w:pPr>
              <w:pStyle w:val="NormalWeb"/>
            </w:pPr>
            <w:r>
              <w:t>montant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724708" w14:textId="77777777" w:rsidR="009D0ADC" w:rsidRDefault="00D24F57">
            <w:pPr>
              <w:pStyle w:val="NormalWeb"/>
            </w:pPr>
            <w:r>
              <w:t>Recettes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1BD5DF" w14:textId="77777777" w:rsidR="009D0ADC" w:rsidRDefault="00D24F57">
            <w:pPr>
              <w:pStyle w:val="NormalWeb"/>
            </w:pPr>
            <w:r>
              <w:t>Montant</w:t>
            </w:r>
          </w:p>
        </w:tc>
      </w:tr>
      <w:tr w:rsidR="009D0ADC" w14:paraId="700A861C"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999D93" w14:textId="77777777" w:rsidR="009D0ADC" w:rsidRDefault="00D24F57">
            <w:pPr>
              <w:pStyle w:val="NormalWeb"/>
            </w:pPr>
            <w:r>
              <w:t>Solde d’investissement reporté</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3ED544" w14:textId="3B67D833" w:rsidR="009D0ADC" w:rsidRDefault="008E3B5D">
            <w:pPr>
              <w:pStyle w:val="NormalWeb"/>
            </w:pPr>
            <w:r>
              <w:t>309 255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884267" w14:textId="77777777" w:rsidR="009D0ADC" w:rsidRDefault="00D24F57">
            <w:pPr>
              <w:pStyle w:val="NormalWeb"/>
            </w:pPr>
            <w:r>
              <w:t>Virement de la section de fonctionnement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686C2A" w14:textId="34C215AC" w:rsidR="009D0ADC" w:rsidRDefault="00CA1628">
            <w:pPr>
              <w:rPr>
                <w:rFonts w:ascii="Times New Roman" w:eastAsia="Times New Roman" w:hAnsi="Times New Roman"/>
                <w:sz w:val="20"/>
                <w:szCs w:val="20"/>
              </w:rPr>
            </w:pPr>
            <w:r>
              <w:rPr>
                <w:rFonts w:ascii="Times New Roman" w:eastAsia="Times New Roman" w:hAnsi="Times New Roman"/>
                <w:sz w:val="20"/>
                <w:szCs w:val="20"/>
              </w:rPr>
              <w:t>4</w:t>
            </w:r>
            <w:r w:rsidR="008E3B5D">
              <w:rPr>
                <w:rFonts w:ascii="Times New Roman" w:eastAsia="Times New Roman" w:hAnsi="Times New Roman"/>
                <w:sz w:val="20"/>
                <w:szCs w:val="20"/>
              </w:rPr>
              <w:t>4</w:t>
            </w:r>
            <w:r>
              <w:rPr>
                <w:rFonts w:ascii="Times New Roman" w:eastAsia="Times New Roman" w:hAnsi="Times New Roman"/>
                <w:sz w:val="20"/>
                <w:szCs w:val="20"/>
              </w:rPr>
              <w:t xml:space="preserve">6 </w:t>
            </w:r>
            <w:r w:rsidR="008E3B5D">
              <w:rPr>
                <w:rFonts w:ascii="Times New Roman" w:eastAsia="Times New Roman" w:hAnsi="Times New Roman"/>
                <w:sz w:val="20"/>
                <w:szCs w:val="20"/>
              </w:rPr>
              <w:t>491</w:t>
            </w:r>
          </w:p>
        </w:tc>
      </w:tr>
      <w:tr w:rsidR="009D0ADC" w14:paraId="4D867881"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EC7CDF1" w14:textId="77777777" w:rsidR="009D0ADC" w:rsidRDefault="00D24F57">
            <w:pPr>
              <w:pStyle w:val="NormalWeb"/>
            </w:pPr>
            <w:r>
              <w:t>Remboursement d’emprunts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347470" w14:textId="1CEF223F" w:rsidR="009D0ADC" w:rsidRDefault="008E3B5D">
            <w:pPr>
              <w:pStyle w:val="NormalWeb"/>
            </w:pPr>
            <w:r>
              <w:t>37 613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63B705" w14:textId="77777777" w:rsidR="009D0ADC" w:rsidRDefault="00D24F57">
            <w:pPr>
              <w:pStyle w:val="NormalWeb"/>
            </w:pPr>
            <w:r>
              <w:t>FCTVA</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70F57D" w14:textId="37D5D1B3" w:rsidR="009D0ADC" w:rsidRDefault="00CA1628">
            <w:pPr>
              <w:rPr>
                <w:rFonts w:ascii="Times New Roman" w:eastAsia="Times New Roman" w:hAnsi="Times New Roman"/>
                <w:sz w:val="20"/>
                <w:szCs w:val="20"/>
              </w:rPr>
            </w:pPr>
            <w:r>
              <w:rPr>
                <w:rFonts w:ascii="Times New Roman" w:eastAsia="Times New Roman" w:hAnsi="Times New Roman"/>
                <w:sz w:val="20"/>
                <w:szCs w:val="20"/>
              </w:rPr>
              <w:t>20 000</w:t>
            </w:r>
          </w:p>
        </w:tc>
      </w:tr>
      <w:tr w:rsidR="009D0ADC" w14:paraId="3709162F"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C9BA44" w14:textId="77777777" w:rsidR="009D0ADC" w:rsidRDefault="00D24F57">
            <w:pPr>
              <w:pStyle w:val="NormalWeb"/>
            </w:pPr>
            <w:r>
              <w:t>Travaux de bâtiments (à lister)</w:t>
            </w:r>
          </w:p>
          <w:p w14:paraId="67FB8E87" w14:textId="77777777" w:rsidR="009D0ADC" w:rsidRDefault="00D24F57">
            <w:pPr>
              <w:pStyle w:val="NormalWeb"/>
            </w:pPr>
            <w:r>
              <w:t>. Construction services techniques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897CA5A" w14:textId="77777777" w:rsidR="009D0ADC" w:rsidRDefault="009D0ADC">
            <w:pPr>
              <w:pStyle w:val="NormalWeb"/>
            </w:pPr>
          </w:p>
          <w:p w14:paraId="323ABB75" w14:textId="668FD6BC" w:rsidR="009D0ADC" w:rsidRDefault="00CA1628">
            <w:pPr>
              <w:pStyle w:val="NormalWeb"/>
            </w:pPr>
            <w:r>
              <w:t>720</w:t>
            </w:r>
            <w:r w:rsidR="00D24F57">
              <w:t xml:space="preserve"> </w:t>
            </w:r>
            <w:r>
              <w:t>000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364C67" w14:textId="77777777" w:rsidR="009D0ADC" w:rsidRDefault="00D24F57">
            <w:pPr>
              <w:pStyle w:val="NormalWeb"/>
            </w:pPr>
            <w:r>
              <w:t>Mise en réserves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1DB72D" w14:textId="21EA3CF6" w:rsidR="009D0ADC" w:rsidRDefault="000D021E">
            <w:pPr>
              <w:rPr>
                <w:rFonts w:ascii="Times New Roman" w:eastAsia="Times New Roman" w:hAnsi="Times New Roman"/>
                <w:sz w:val="20"/>
                <w:szCs w:val="20"/>
              </w:rPr>
            </w:pPr>
            <w:r>
              <w:rPr>
                <w:rFonts w:ascii="Times New Roman" w:eastAsia="Times New Roman" w:hAnsi="Times New Roman"/>
                <w:sz w:val="20"/>
                <w:szCs w:val="20"/>
              </w:rPr>
              <w:t>309 255</w:t>
            </w:r>
          </w:p>
        </w:tc>
      </w:tr>
      <w:tr w:rsidR="009D0ADC" w14:paraId="61C73E50"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A4E4EF" w14:textId="77777777" w:rsidR="009D0ADC" w:rsidRDefault="00D24F57">
            <w:pPr>
              <w:pStyle w:val="NormalWeb"/>
            </w:pPr>
            <w:r>
              <w:t>Travaux de voirie</w:t>
            </w:r>
          </w:p>
          <w:p w14:paraId="3AEF9930" w14:textId="77777777" w:rsidR="009D0ADC" w:rsidRDefault="00D24F57">
            <w:pPr>
              <w:pStyle w:val="NormalWeb"/>
            </w:pPr>
            <w:r>
              <w:t>. Cheminement doux route d’Assas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D4A3BA" w14:textId="256E72C1" w:rsidR="009D0ADC" w:rsidRDefault="009D0ADC">
            <w:pPr>
              <w:pStyle w:val="NormalWeb"/>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99CF84" w14:textId="77777777" w:rsidR="009D0ADC" w:rsidRDefault="00D24F57">
            <w:pPr>
              <w:pStyle w:val="NormalWeb"/>
            </w:pPr>
            <w:r>
              <w:t>Cessions d’immobilisations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BAD696" w14:textId="77777777" w:rsidR="009D0ADC" w:rsidRDefault="009D0ADC">
            <w:pPr>
              <w:rPr>
                <w:rFonts w:ascii="Times New Roman" w:eastAsia="Times New Roman" w:hAnsi="Times New Roman"/>
                <w:sz w:val="20"/>
                <w:szCs w:val="20"/>
              </w:rPr>
            </w:pPr>
          </w:p>
        </w:tc>
      </w:tr>
      <w:tr w:rsidR="009D0ADC" w14:paraId="2EA17284"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3AE6CCA" w14:textId="7C701459" w:rsidR="009D0ADC" w:rsidRDefault="00D24F57">
            <w:pPr>
              <w:pStyle w:val="NormalWeb"/>
            </w:pPr>
            <w:r>
              <w:t>Autres travaux</w:t>
            </w:r>
            <w:r w:rsidR="000E7E84">
              <w:t xml:space="preserve"> (Etudes)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90402C" w14:textId="23A3AD2F" w:rsidR="009D0ADC" w:rsidRDefault="00D24F57">
            <w:pPr>
              <w:pStyle w:val="NormalWeb"/>
            </w:pPr>
            <w:r>
              <w:t>4</w:t>
            </w:r>
            <w:r w:rsidR="00CA1628">
              <w:t>2</w:t>
            </w:r>
            <w:r>
              <w:t xml:space="preserve"> 000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9FABA11" w14:textId="77777777" w:rsidR="009D0ADC" w:rsidRDefault="00D24F57">
            <w:pPr>
              <w:pStyle w:val="NormalWeb"/>
            </w:pPr>
            <w:r>
              <w:t>Taxe aménagement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C0EF19" w14:textId="20DAA329" w:rsidR="009D0ADC" w:rsidRDefault="009D0ADC">
            <w:pPr>
              <w:rPr>
                <w:rFonts w:ascii="Times New Roman" w:eastAsia="Times New Roman" w:hAnsi="Times New Roman"/>
                <w:sz w:val="20"/>
                <w:szCs w:val="20"/>
              </w:rPr>
            </w:pPr>
          </w:p>
        </w:tc>
      </w:tr>
      <w:tr w:rsidR="009D0ADC" w14:paraId="410FA68E"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B30308" w14:textId="77777777" w:rsidR="009D0ADC" w:rsidRDefault="00D24F57">
            <w:pPr>
              <w:pStyle w:val="NormalWeb"/>
            </w:pPr>
            <w:r>
              <w:t>Autres dépenses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87EB8D" w14:textId="6E28C1FB" w:rsidR="009D0ADC" w:rsidRDefault="00CA1628">
            <w:pPr>
              <w:pStyle w:val="NormalWeb"/>
            </w:pPr>
            <w:r>
              <w:t>5</w:t>
            </w:r>
            <w:r w:rsidR="008E3B5D">
              <w:t>6</w:t>
            </w:r>
            <w:r>
              <w:t>1 8</w:t>
            </w:r>
            <w:r w:rsidR="008E3B5D">
              <w:t>04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64490F" w14:textId="77777777" w:rsidR="009D0ADC" w:rsidRDefault="00D24F57">
            <w:pPr>
              <w:pStyle w:val="NormalWeb"/>
            </w:pPr>
            <w:r>
              <w:t>subventions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537DD7" w14:textId="4AD93724" w:rsidR="009D0ADC" w:rsidRDefault="008E3B5D">
            <w:pPr>
              <w:rPr>
                <w:rFonts w:ascii="Times New Roman" w:eastAsia="Times New Roman" w:hAnsi="Times New Roman"/>
                <w:sz w:val="20"/>
                <w:szCs w:val="20"/>
              </w:rPr>
            </w:pPr>
            <w:r>
              <w:rPr>
                <w:rFonts w:ascii="Times New Roman" w:eastAsia="Times New Roman" w:hAnsi="Times New Roman"/>
                <w:sz w:val="20"/>
                <w:szCs w:val="20"/>
              </w:rPr>
              <w:t>286 452</w:t>
            </w:r>
          </w:p>
        </w:tc>
      </w:tr>
      <w:tr w:rsidR="009D0ADC" w14:paraId="155517CB"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07567EF" w14:textId="77777777" w:rsidR="009D0ADC" w:rsidRDefault="00D24F57">
            <w:pPr>
              <w:pStyle w:val="NormalWeb"/>
            </w:pPr>
            <w:r>
              <w:t>Charges (écritures d’ordre entre sections)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210735" w14:textId="77777777" w:rsidR="009D0ADC" w:rsidRDefault="009D0ADC">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1E2564" w14:textId="77777777" w:rsidR="009D0ADC" w:rsidRDefault="00D24F57">
            <w:pPr>
              <w:pStyle w:val="NormalWeb"/>
            </w:pPr>
            <w:r>
              <w:t>Emprunt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08D3C75" w14:textId="2C1A4324" w:rsidR="009D0ADC" w:rsidRDefault="007B021D">
            <w:pPr>
              <w:rPr>
                <w:rFonts w:ascii="Times New Roman" w:eastAsia="Times New Roman" w:hAnsi="Times New Roman"/>
                <w:sz w:val="20"/>
                <w:szCs w:val="20"/>
              </w:rPr>
            </w:pPr>
            <w:r>
              <w:rPr>
                <w:rFonts w:ascii="Times New Roman" w:eastAsia="Times New Roman" w:hAnsi="Times New Roman"/>
                <w:sz w:val="20"/>
                <w:szCs w:val="20"/>
              </w:rPr>
              <w:t>6</w:t>
            </w:r>
            <w:r w:rsidR="00D24F57">
              <w:rPr>
                <w:rFonts w:ascii="Times New Roman" w:eastAsia="Times New Roman" w:hAnsi="Times New Roman"/>
                <w:sz w:val="20"/>
                <w:szCs w:val="20"/>
              </w:rPr>
              <w:t>00 000</w:t>
            </w:r>
          </w:p>
        </w:tc>
      </w:tr>
      <w:tr w:rsidR="009D0ADC" w14:paraId="62D3D1A2"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7E7E90" w14:textId="77777777" w:rsidR="009D0ADC" w:rsidRDefault="00D24F57">
            <w:pPr>
              <w:pStyle w:val="NormalWeb"/>
            </w:pPr>
            <w: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CA66E1" w14:textId="77777777" w:rsidR="009D0ADC" w:rsidRDefault="009D0ADC">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ED99649" w14:textId="77777777" w:rsidR="009D0ADC" w:rsidRDefault="00D24F57">
            <w:pPr>
              <w:pStyle w:val="NormalWeb"/>
            </w:pPr>
            <w:r>
              <w:t>Produits (écritures d’ordre entre section)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675279" w14:textId="64D05A4F" w:rsidR="009D0ADC" w:rsidRDefault="000D021E">
            <w:pPr>
              <w:rPr>
                <w:rFonts w:ascii="Times New Roman" w:eastAsia="Times New Roman" w:hAnsi="Times New Roman"/>
                <w:sz w:val="20"/>
                <w:szCs w:val="20"/>
              </w:rPr>
            </w:pPr>
            <w:r>
              <w:rPr>
                <w:rFonts w:ascii="Times New Roman" w:eastAsia="Times New Roman" w:hAnsi="Times New Roman"/>
                <w:sz w:val="20"/>
                <w:szCs w:val="20"/>
              </w:rPr>
              <w:t>8 473</w:t>
            </w:r>
          </w:p>
        </w:tc>
      </w:tr>
      <w:tr w:rsidR="009D0ADC" w14:paraId="3AB797F9" w14:textId="7777777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1E2058" w14:textId="77777777" w:rsidR="009D0ADC" w:rsidRDefault="00D24F57">
            <w:pPr>
              <w:pStyle w:val="NormalWeb"/>
            </w:pPr>
            <w:r>
              <w:t>Total général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CBD0C5" w14:textId="10DAF77A" w:rsidR="009D0ADC" w:rsidRDefault="007B021D" w:rsidP="00803ABB">
            <w:pPr>
              <w:pStyle w:val="NormalWeb"/>
            </w:pPr>
            <w:r>
              <w:rPr>
                <w:sz w:val="18"/>
              </w:rPr>
              <w:t>1 6</w:t>
            </w:r>
            <w:r w:rsidR="008E3B5D">
              <w:rPr>
                <w:sz w:val="18"/>
              </w:rPr>
              <w:t>7</w:t>
            </w:r>
            <w:r>
              <w:rPr>
                <w:sz w:val="18"/>
              </w:rPr>
              <w:t xml:space="preserve">0 </w:t>
            </w:r>
            <w:r w:rsidR="008E3B5D">
              <w:rPr>
                <w:sz w:val="18"/>
              </w:rPr>
              <w:t>67</w:t>
            </w:r>
            <w:r>
              <w:rPr>
                <w:sz w:val="18"/>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714F8B2" w14:textId="77777777" w:rsidR="009D0ADC" w:rsidRDefault="00D24F57">
            <w:pPr>
              <w:pStyle w:val="NormalWeb"/>
            </w:pPr>
            <w:r>
              <w:t>Total général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95AA6A" w14:textId="19BAB8EB" w:rsidR="009D0ADC" w:rsidRDefault="007B021D">
            <w:pPr>
              <w:rPr>
                <w:rFonts w:ascii="Times New Roman" w:eastAsia="Times New Roman" w:hAnsi="Times New Roman"/>
                <w:sz w:val="20"/>
                <w:szCs w:val="20"/>
              </w:rPr>
            </w:pPr>
            <w:r>
              <w:t xml:space="preserve">1 </w:t>
            </w:r>
            <w:r w:rsidR="008E3B5D">
              <w:t>670</w:t>
            </w:r>
            <w:r w:rsidR="003F65AA">
              <w:t xml:space="preserve"> </w:t>
            </w:r>
            <w:r w:rsidR="008E3B5D">
              <w:t>672</w:t>
            </w:r>
          </w:p>
        </w:tc>
      </w:tr>
    </w:tbl>
    <w:p w14:paraId="304E01C7" w14:textId="28258455" w:rsidR="009D0ADC" w:rsidRDefault="009E3857">
      <w:pPr>
        <w:pStyle w:val="NormalWeb"/>
      </w:pPr>
      <w:r>
        <w:t>c)</w:t>
      </w:r>
      <w:r w:rsidR="00D24F57">
        <w:t xml:space="preserve"> Les principaux projets de l’année 20</w:t>
      </w:r>
      <w:r w:rsidR="003F65AA">
        <w:t>20</w:t>
      </w:r>
      <w:r w:rsidR="00D24F57">
        <w:t xml:space="preserve"> </w:t>
      </w:r>
      <w:r w:rsidR="00641E5C">
        <w:t xml:space="preserve">sont les suivants : </w:t>
      </w:r>
    </w:p>
    <w:p w14:paraId="3BA6EC5C" w14:textId="77777777" w:rsidR="009D0ADC" w:rsidRDefault="00D24F57">
      <w:pPr>
        <w:pStyle w:val="NormalWeb"/>
      </w:pPr>
      <w:r>
        <w:t>-</w:t>
      </w:r>
      <w:r w:rsidR="00641E5C">
        <w:t xml:space="preserve"> Construction d’un bâtiment pour les services techniques et de rangement pour les associations</w:t>
      </w:r>
      <w:r>
        <w:br/>
        <w:t>-</w:t>
      </w:r>
      <w:r w:rsidR="00641E5C">
        <w:t xml:space="preserve"> Mise à niveau de l’accès à l’école pour les PMR</w:t>
      </w:r>
    </w:p>
    <w:p w14:paraId="0DC660B0" w14:textId="54ECE880" w:rsidR="009D0ADC" w:rsidRDefault="00D24F57">
      <w:pPr>
        <w:pStyle w:val="NormalWeb"/>
      </w:pPr>
      <w:r>
        <w:t xml:space="preserve">d) Les subventions d’investissements prévues </w:t>
      </w:r>
      <w:r w:rsidR="00625C80">
        <w:t>pour 2020</w:t>
      </w:r>
      <w:r>
        <w:t>:</w:t>
      </w:r>
    </w:p>
    <w:p w14:paraId="0E77FC8F" w14:textId="1E1DFFBE" w:rsidR="009D0ADC" w:rsidRDefault="00D24F57">
      <w:pPr>
        <w:pStyle w:val="NormalWeb"/>
      </w:pPr>
      <w:r>
        <w:t>- de l’Etat :</w:t>
      </w:r>
      <w:r w:rsidR="00641E5C">
        <w:t xml:space="preserve"> </w:t>
      </w:r>
      <w:r>
        <w:br/>
        <w:t>- de la Région:</w:t>
      </w:r>
      <w:r>
        <w:br/>
        <w:t>- du Département:</w:t>
      </w:r>
      <w:r>
        <w:br/>
        <w:t>- Autres:</w:t>
      </w:r>
      <w:r w:rsidR="00641E5C">
        <w:t xml:space="preserve"> </w:t>
      </w:r>
      <w:r w:rsidR="007B021D">
        <w:t>30 000</w:t>
      </w:r>
      <w:r w:rsidR="00641E5C">
        <w:t xml:space="preserve"> € fonds de concours</w:t>
      </w:r>
      <w:r w:rsidR="009E3857">
        <w:t xml:space="preserve"> CCGPSL</w:t>
      </w:r>
    </w:p>
    <w:p w14:paraId="2C20AB67" w14:textId="77777777" w:rsidR="009D0ADC" w:rsidRDefault="00D24F57">
      <w:pPr>
        <w:pStyle w:val="NormalWeb"/>
      </w:pPr>
      <w:r>
        <w:rPr>
          <w:b/>
          <w:bCs/>
        </w:rPr>
        <w:t>IV. Les données synthétiques du budget – Récapitulation</w:t>
      </w:r>
    </w:p>
    <w:p w14:paraId="7F6C0568" w14:textId="77777777" w:rsidR="009D0ADC" w:rsidRDefault="00D24F57" w:rsidP="00641E5C">
      <w:pPr>
        <w:pStyle w:val="NormalWeb"/>
        <w:numPr>
          <w:ilvl w:val="0"/>
          <w:numId w:val="1"/>
        </w:numPr>
      </w:pPr>
      <w:r>
        <w:t>Recettes et dépenses de fonctionnement :</w:t>
      </w:r>
    </w:p>
    <w:p w14:paraId="6E185167" w14:textId="2236ABF9" w:rsidR="00641E5C" w:rsidRDefault="00E56735" w:rsidP="00641E5C">
      <w:pPr>
        <w:pStyle w:val="NormalWeb"/>
      </w:pPr>
      <w:r>
        <w:rPr>
          <w:noProof/>
        </w:rPr>
        <w:lastRenderedPageBreak/>
        <w:drawing>
          <wp:inline distT="0" distB="0" distL="0" distR="0" wp14:anchorId="26704088" wp14:editId="6B89D23C">
            <wp:extent cx="5973445" cy="4092315"/>
            <wp:effectExtent l="0" t="0" r="8255" b="10160"/>
            <wp:docPr id="1" name="Graphique 1">
              <a:extLst xmlns:a="http://schemas.openxmlformats.org/drawingml/2006/main">
                <a:ext uri="{FF2B5EF4-FFF2-40B4-BE49-F238E27FC236}">
                  <a16:creationId xmlns:a16="http://schemas.microsoft.com/office/drawing/2014/main" id="{5AEBBF2F-7902-B149-8D1B-B229A821D9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D5342A" w14:textId="77777777" w:rsidR="00641E5C" w:rsidRDefault="00641E5C" w:rsidP="00641E5C">
      <w:pPr>
        <w:pStyle w:val="NormalWeb"/>
      </w:pPr>
    </w:p>
    <w:p w14:paraId="173CFB18" w14:textId="0EE1F49F" w:rsidR="00E67BED" w:rsidRDefault="00E56735" w:rsidP="00641E5C">
      <w:pPr>
        <w:pStyle w:val="NormalWeb"/>
      </w:pPr>
      <w:r>
        <w:rPr>
          <w:noProof/>
        </w:rPr>
        <w:drawing>
          <wp:inline distT="0" distB="0" distL="0" distR="0" wp14:anchorId="289DD9BA" wp14:editId="21532C94">
            <wp:extent cx="5778708" cy="4159771"/>
            <wp:effectExtent l="0" t="0" r="12700" b="6350"/>
            <wp:docPr id="2" name="Graphique 2">
              <a:extLst xmlns:a="http://schemas.openxmlformats.org/drawingml/2006/main">
                <a:ext uri="{FF2B5EF4-FFF2-40B4-BE49-F238E27FC236}">
                  <a16:creationId xmlns:a16="http://schemas.microsoft.com/office/drawing/2014/main" id="{80F05650-A8AA-3E4D-A8B0-C4B547FD9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3F2DE2" w14:textId="77777777" w:rsidR="009D0ADC" w:rsidRDefault="00D24F57">
      <w:pPr>
        <w:pStyle w:val="NormalWeb"/>
      </w:pPr>
      <w:r>
        <w:lastRenderedPageBreak/>
        <w:t>b) Principaux ratios</w:t>
      </w:r>
    </w:p>
    <w:p w14:paraId="7BC30DC7" w14:textId="63C9B031" w:rsidR="00754D66" w:rsidRDefault="00D24F57">
      <w:pPr>
        <w:pStyle w:val="NormalWeb"/>
        <w:rPr>
          <w:i/>
          <w:iCs/>
        </w:rPr>
      </w:pPr>
      <w:r>
        <w:rPr>
          <w:i/>
          <w:iCs/>
        </w:rPr>
        <w:t xml:space="preserve"> Dépenses réelles </w:t>
      </w:r>
      <w:r w:rsidR="00754D66">
        <w:rPr>
          <w:i/>
          <w:iCs/>
        </w:rPr>
        <w:t>de fonctionnement / population : 7</w:t>
      </w:r>
      <w:r w:rsidR="00707B38">
        <w:rPr>
          <w:i/>
          <w:iCs/>
        </w:rPr>
        <w:t>2</w:t>
      </w:r>
      <w:r w:rsidR="00625C80">
        <w:rPr>
          <w:i/>
          <w:iCs/>
        </w:rPr>
        <w:t>5</w:t>
      </w:r>
      <w:r w:rsidR="00754D66">
        <w:rPr>
          <w:i/>
          <w:iCs/>
        </w:rPr>
        <w:t xml:space="preserve"> €</w:t>
      </w:r>
    </w:p>
    <w:p w14:paraId="02EFAF7E" w14:textId="62C5BEAD" w:rsidR="00754D66" w:rsidRDefault="00CD4D63">
      <w:pPr>
        <w:pStyle w:val="NormalWeb"/>
        <w:rPr>
          <w:i/>
          <w:iCs/>
        </w:rPr>
      </w:pPr>
      <w:r>
        <w:rPr>
          <w:i/>
          <w:iCs/>
        </w:rPr>
        <w:t xml:space="preserve"> P</w:t>
      </w:r>
      <w:r w:rsidR="00D24F57">
        <w:rPr>
          <w:i/>
          <w:iCs/>
        </w:rPr>
        <w:t>roduit des i</w:t>
      </w:r>
      <w:r w:rsidR="00754D66">
        <w:rPr>
          <w:i/>
          <w:iCs/>
        </w:rPr>
        <w:t>mpositions directes/population :</w:t>
      </w:r>
      <w:r w:rsidR="00625C80">
        <w:rPr>
          <w:i/>
          <w:iCs/>
        </w:rPr>
        <w:t>295</w:t>
      </w:r>
      <w:r w:rsidR="00754D66">
        <w:rPr>
          <w:i/>
          <w:iCs/>
        </w:rPr>
        <w:t xml:space="preserve"> €</w:t>
      </w:r>
    </w:p>
    <w:p w14:paraId="4DD03667" w14:textId="0911CC1E" w:rsidR="009D0ADC" w:rsidRDefault="00CD4D63">
      <w:pPr>
        <w:pStyle w:val="NormalWeb"/>
      </w:pPr>
      <w:r>
        <w:rPr>
          <w:i/>
          <w:iCs/>
        </w:rPr>
        <w:t xml:space="preserve"> R</w:t>
      </w:r>
      <w:r w:rsidR="00D24F57">
        <w:rPr>
          <w:i/>
          <w:iCs/>
        </w:rPr>
        <w:t xml:space="preserve">ecettes réelles de </w:t>
      </w:r>
      <w:r w:rsidR="00754D66">
        <w:rPr>
          <w:i/>
          <w:iCs/>
        </w:rPr>
        <w:t xml:space="preserve">fonctionnement / population : </w:t>
      </w:r>
      <w:r w:rsidR="00707B38">
        <w:rPr>
          <w:i/>
          <w:iCs/>
        </w:rPr>
        <w:t>61</w:t>
      </w:r>
      <w:r w:rsidR="00625C80">
        <w:rPr>
          <w:i/>
          <w:iCs/>
        </w:rPr>
        <w:t>5</w:t>
      </w:r>
      <w:r w:rsidR="004E5132">
        <w:rPr>
          <w:i/>
          <w:iCs/>
        </w:rPr>
        <w:t xml:space="preserve"> €</w:t>
      </w:r>
    </w:p>
    <w:p w14:paraId="47C3FEA2" w14:textId="77777777" w:rsidR="009D0ADC" w:rsidRDefault="00D24F57">
      <w:pPr>
        <w:pStyle w:val="NormalWeb"/>
      </w:pPr>
      <w:r>
        <w:t>c) Etat de la dette</w:t>
      </w:r>
    </w:p>
    <w:p w14:paraId="0A6E5337" w14:textId="3A708C44" w:rsidR="004E5132" w:rsidRDefault="00302FB2">
      <w:pPr>
        <w:pStyle w:val="NormalWeb"/>
        <w:rPr>
          <w:i/>
          <w:iCs/>
        </w:rPr>
      </w:pPr>
      <w:r>
        <w:rPr>
          <w:i/>
          <w:iCs/>
        </w:rPr>
        <w:t xml:space="preserve"> E</w:t>
      </w:r>
      <w:r w:rsidR="00DA521D" w:rsidRPr="00DA521D">
        <w:rPr>
          <w:i/>
          <w:iCs/>
        </w:rPr>
        <w:t>ncours dette / recettes prévisionnelles (hors excédent reporté); ce ratio donne le nombre d'années du cycle de fonctionnement courant</w:t>
      </w:r>
      <w:r>
        <w:rPr>
          <w:i/>
          <w:iCs/>
        </w:rPr>
        <w:t xml:space="preserve"> </w:t>
      </w:r>
      <w:r w:rsidRPr="00302FB2">
        <w:rPr>
          <w:i/>
          <w:iCs/>
        </w:rPr>
        <w:t>nécessaire pour rembourser l'intégrali</w:t>
      </w:r>
      <w:r>
        <w:rPr>
          <w:i/>
          <w:iCs/>
        </w:rPr>
        <w:t xml:space="preserve">té de la dette; jusqu'à 5 ans </w:t>
      </w:r>
      <w:r w:rsidR="0048126C">
        <w:rPr>
          <w:i/>
          <w:iCs/>
        </w:rPr>
        <w:t>c’</w:t>
      </w:r>
      <w:r>
        <w:rPr>
          <w:i/>
          <w:iCs/>
        </w:rPr>
        <w:t xml:space="preserve">est considéré comme </w:t>
      </w:r>
      <w:r w:rsidRPr="00302FB2">
        <w:rPr>
          <w:i/>
          <w:iCs/>
        </w:rPr>
        <w:t>correct.</w:t>
      </w:r>
      <w:r w:rsidR="00DA521D">
        <w:rPr>
          <w:i/>
          <w:iCs/>
        </w:rPr>
        <w:t xml:space="preserve"> = 1,</w:t>
      </w:r>
      <w:r w:rsidR="00821367">
        <w:rPr>
          <w:i/>
          <w:iCs/>
        </w:rPr>
        <w:t>27</w:t>
      </w:r>
    </w:p>
    <w:p w14:paraId="186E37EE" w14:textId="541F814D" w:rsidR="00CD4D63" w:rsidRDefault="00CD4D63">
      <w:pPr>
        <w:pStyle w:val="NormalWeb"/>
        <w:rPr>
          <w:i/>
          <w:iCs/>
        </w:rPr>
      </w:pPr>
      <w:r>
        <w:rPr>
          <w:i/>
          <w:iCs/>
        </w:rPr>
        <w:t>Annuité / population :</w:t>
      </w:r>
      <w:r w:rsidR="002F448F">
        <w:rPr>
          <w:i/>
          <w:iCs/>
        </w:rPr>
        <w:t>53</w:t>
      </w:r>
      <w:r>
        <w:rPr>
          <w:i/>
          <w:iCs/>
        </w:rPr>
        <w:t xml:space="preserve"> €</w:t>
      </w:r>
    </w:p>
    <w:p w14:paraId="02140F28" w14:textId="0B9D4550" w:rsidR="009D0ADC" w:rsidRDefault="00D24F57">
      <w:pPr>
        <w:pStyle w:val="NormalWeb"/>
      </w:pPr>
      <w:r>
        <w:t xml:space="preserve">Fait à Ste Croix de </w:t>
      </w:r>
      <w:proofErr w:type="spellStart"/>
      <w:r>
        <w:t>Quintillargues</w:t>
      </w:r>
      <w:proofErr w:type="spellEnd"/>
      <w:r>
        <w:t xml:space="preserve">, le </w:t>
      </w:r>
      <w:r w:rsidR="00707B38">
        <w:t xml:space="preserve">6 </w:t>
      </w:r>
      <w:proofErr w:type="spellStart"/>
      <w:r w:rsidR="00707B38">
        <w:t>fevrier</w:t>
      </w:r>
      <w:proofErr w:type="spellEnd"/>
      <w:r>
        <w:t xml:space="preserve"> 20</w:t>
      </w:r>
      <w:r w:rsidR="00707B38">
        <w:t>20</w:t>
      </w:r>
      <w:bookmarkStart w:id="1" w:name="_GoBack"/>
      <w:bookmarkEnd w:id="1"/>
    </w:p>
    <w:p w14:paraId="4B397DE7" w14:textId="60F8F4A9" w:rsidR="00D24F57" w:rsidRDefault="00D24F57" w:rsidP="00191741">
      <w:pPr>
        <w:pStyle w:val="NormalWeb"/>
      </w:pPr>
      <w:r>
        <w:t>Le Maire,</w:t>
      </w:r>
    </w:p>
    <w:sectPr w:rsidR="00D24F5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0E0B" w14:textId="77777777" w:rsidR="0086261A" w:rsidRDefault="0086261A" w:rsidP="00E216BB">
      <w:r>
        <w:separator/>
      </w:r>
    </w:p>
  </w:endnote>
  <w:endnote w:type="continuationSeparator" w:id="0">
    <w:p w14:paraId="18EA9DD2" w14:textId="77777777" w:rsidR="0086261A" w:rsidRDefault="0086261A" w:rsidP="00E2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1AD2" w14:textId="77777777" w:rsidR="00E216BB" w:rsidRDefault="00E216BB" w:rsidP="00E463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CED474" w14:textId="77777777" w:rsidR="00E216BB" w:rsidRDefault="00E216BB" w:rsidP="00E216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2EEE" w14:textId="77777777" w:rsidR="00E216BB" w:rsidRDefault="00E216BB" w:rsidP="00E463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5318">
      <w:rPr>
        <w:rStyle w:val="Numrodepage"/>
        <w:noProof/>
      </w:rPr>
      <w:t>1</w:t>
    </w:r>
    <w:r>
      <w:rPr>
        <w:rStyle w:val="Numrodepage"/>
      </w:rPr>
      <w:fldChar w:fldCharType="end"/>
    </w:r>
  </w:p>
  <w:p w14:paraId="495BEE2E" w14:textId="77777777" w:rsidR="00E216BB" w:rsidRDefault="00E216BB" w:rsidP="00E216B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DBA1" w14:textId="77777777" w:rsidR="0086261A" w:rsidRDefault="0086261A" w:rsidP="00E216BB">
      <w:r>
        <w:separator/>
      </w:r>
    </w:p>
  </w:footnote>
  <w:footnote w:type="continuationSeparator" w:id="0">
    <w:p w14:paraId="70B5A499" w14:textId="77777777" w:rsidR="0086261A" w:rsidRDefault="0086261A" w:rsidP="00E2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C0BBF"/>
    <w:multiLevelType w:val="hybridMultilevel"/>
    <w:tmpl w:val="36F6EE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F"/>
    <w:rsid w:val="000D021E"/>
    <w:rsid w:val="000E7E84"/>
    <w:rsid w:val="00191741"/>
    <w:rsid w:val="002103B7"/>
    <w:rsid w:val="0024449C"/>
    <w:rsid w:val="002F448F"/>
    <w:rsid w:val="00302FB2"/>
    <w:rsid w:val="003800BD"/>
    <w:rsid w:val="003D03AF"/>
    <w:rsid w:val="003F65AA"/>
    <w:rsid w:val="00442A8F"/>
    <w:rsid w:val="0048126C"/>
    <w:rsid w:val="004A6DE5"/>
    <w:rsid w:val="004E0B11"/>
    <w:rsid w:val="004E5132"/>
    <w:rsid w:val="004F3CDE"/>
    <w:rsid w:val="005A66B6"/>
    <w:rsid w:val="005E0887"/>
    <w:rsid w:val="00625C80"/>
    <w:rsid w:val="00641E5C"/>
    <w:rsid w:val="00644979"/>
    <w:rsid w:val="006834F3"/>
    <w:rsid w:val="006C277B"/>
    <w:rsid w:val="006C5D8A"/>
    <w:rsid w:val="00707B38"/>
    <w:rsid w:val="00754D66"/>
    <w:rsid w:val="00777C6C"/>
    <w:rsid w:val="00796B5A"/>
    <w:rsid w:val="007B021D"/>
    <w:rsid w:val="007B035C"/>
    <w:rsid w:val="00803ABB"/>
    <w:rsid w:val="00813394"/>
    <w:rsid w:val="00821367"/>
    <w:rsid w:val="0086261A"/>
    <w:rsid w:val="00885213"/>
    <w:rsid w:val="008B1C4C"/>
    <w:rsid w:val="008C0711"/>
    <w:rsid w:val="008E3B5D"/>
    <w:rsid w:val="00901241"/>
    <w:rsid w:val="00925128"/>
    <w:rsid w:val="009D0ADC"/>
    <w:rsid w:val="009E3857"/>
    <w:rsid w:val="00AD062C"/>
    <w:rsid w:val="00AE73FB"/>
    <w:rsid w:val="00AF4C3E"/>
    <w:rsid w:val="00AF6230"/>
    <w:rsid w:val="00BD7184"/>
    <w:rsid w:val="00C033DB"/>
    <w:rsid w:val="00C216C2"/>
    <w:rsid w:val="00CA1628"/>
    <w:rsid w:val="00CD4D63"/>
    <w:rsid w:val="00D042E4"/>
    <w:rsid w:val="00D24F57"/>
    <w:rsid w:val="00D40971"/>
    <w:rsid w:val="00DA521D"/>
    <w:rsid w:val="00E216BB"/>
    <w:rsid w:val="00E43F79"/>
    <w:rsid w:val="00E56735"/>
    <w:rsid w:val="00E67BED"/>
    <w:rsid w:val="00ED5318"/>
    <w:rsid w:val="00F35EE6"/>
    <w:rsid w:val="00F50A9D"/>
    <w:rsid w:val="00F536C2"/>
    <w:rsid w:val="00F73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B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eastAsia="Verdana" w:hAnsi="Verdana"/>
      <w:sz w:val="15"/>
      <w:szCs w:val="16"/>
    </w:rPr>
  </w:style>
  <w:style w:type="paragraph" w:styleId="Titre2">
    <w:name w:val="heading 2"/>
    <w:basedOn w:val="Normal"/>
    <w:link w:val="Titre2C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Titre4">
    <w:name w:val="heading 4"/>
    <w:basedOn w:val="Normal"/>
    <w:link w:val="Titre4Car"/>
    <w:uiPriority w:val="9"/>
    <w:qFormat/>
    <w:pPr>
      <w:spacing w:before="100" w:beforeAutospacing="1" w:after="100" w:afterAutospacing="1"/>
      <w:outlineLvl w:val="3"/>
    </w:pPr>
    <w:rPr>
      <w:rFonts w:ascii="Times New Roman" w:eastAsiaTheme="minorEastAsia"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re4Car">
    <w:name w:val="Titre 4 Car"/>
    <w:basedOn w:val="Policepardfaut"/>
    <w:link w:val="Titre4"/>
    <w:uiPriority w:val="9"/>
    <w:semiHidden/>
    <w:locked/>
    <w:rPr>
      <w:rFonts w:asciiTheme="majorHAnsi" w:eastAsiaTheme="majorEastAsia" w:hAnsiTheme="majorHAnsi" w:cstheme="majorBidi" w:hint="default"/>
      <w:b/>
      <w:bCs/>
      <w:i/>
      <w:iCs/>
      <w:color w:val="4F81BD" w:themeColor="accent1"/>
      <w:sz w:val="15"/>
      <w:szCs w:val="1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rPr>
      <w:rFonts w:ascii="Verdana" w:eastAsia="Verdana" w:hAnsi="Verdana"/>
      <w:sz w:val="2"/>
      <w:szCs w:val="2"/>
    </w:rPr>
  </w:style>
  <w:style w:type="paragraph" w:styleId="Pieddepage">
    <w:name w:val="footer"/>
    <w:basedOn w:val="Normal"/>
    <w:link w:val="PieddepageCar"/>
    <w:uiPriority w:val="99"/>
    <w:unhideWhenUsed/>
    <w:rsid w:val="00E216BB"/>
    <w:pPr>
      <w:tabs>
        <w:tab w:val="center" w:pos="4536"/>
        <w:tab w:val="right" w:pos="9072"/>
      </w:tabs>
    </w:pPr>
  </w:style>
  <w:style w:type="character" w:customStyle="1" w:styleId="PieddepageCar">
    <w:name w:val="Pied de page Car"/>
    <w:basedOn w:val="Policepardfaut"/>
    <w:link w:val="Pieddepage"/>
    <w:uiPriority w:val="99"/>
    <w:rsid w:val="00E216BB"/>
    <w:rPr>
      <w:rFonts w:ascii="Verdana" w:eastAsia="Verdana" w:hAnsi="Verdana"/>
      <w:sz w:val="15"/>
      <w:szCs w:val="16"/>
    </w:rPr>
  </w:style>
  <w:style w:type="character" w:styleId="Numrodepage">
    <w:name w:val="page number"/>
    <w:basedOn w:val="Policepardfaut"/>
    <w:uiPriority w:val="99"/>
    <w:semiHidden/>
    <w:unhideWhenUsed/>
    <w:rsid w:val="00E2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84812">
      <w:marLeft w:val="0"/>
      <w:marRight w:val="0"/>
      <w:marTop w:val="0"/>
      <w:marBottom w:val="0"/>
      <w:divBdr>
        <w:top w:val="none" w:sz="0" w:space="0" w:color="auto"/>
        <w:left w:val="none" w:sz="0" w:space="0" w:color="auto"/>
        <w:bottom w:val="none" w:sz="0" w:space="0" w:color="auto"/>
        <w:right w:val="none" w:sz="0" w:space="0" w:color="auto"/>
      </w:divBdr>
      <w:divsChild>
        <w:div w:id="4621888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claudevasseur/Library/Mobile%20Documents/com~apple~CloudDocs/MAIRIE/FINANCES/BUDGET/BUDGET%202020/BP%202020%20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claudevasseur/Library/Mobile%20Documents/com~apple~CloudDocs/MAIRIE/FINANCES/BUDGET/BUDGET%202020/BP%202020%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b="1" i="0" u="none" strike="noStrike" baseline="0">
                <a:solidFill>
                  <a:srgbClr val="000000"/>
                </a:solidFill>
                <a:latin typeface="Arial"/>
                <a:ea typeface="Arial"/>
                <a:cs typeface="Arial"/>
              </a:defRPr>
            </a:pPr>
            <a:r>
              <a:rPr lang="fr-FR" sz="1400"/>
              <a:t>Dépenses de fonctionnement 2020</a:t>
            </a:r>
          </a:p>
        </c:rich>
      </c:tx>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
          <c:y val="0.11824316567100029"/>
          <c:w val="1"/>
          <c:h val="0.83409292437454763"/>
        </c:manualLayout>
      </c:layout>
      <c:pie3DChart>
        <c:varyColors val="1"/>
        <c:ser>
          <c:idx val="0"/>
          <c:order val="0"/>
          <c:spPr>
            <a:solidFill>
              <a:srgbClr val="9999FF"/>
            </a:solidFill>
            <a:ln w="25400">
              <a:noFill/>
            </a:ln>
          </c:spPr>
          <c:explosion val="25"/>
          <c:dPt>
            <c:idx val="0"/>
            <c:bubble3D val="0"/>
            <c:explosion val="10"/>
            <c:extLst>
              <c:ext xmlns:c16="http://schemas.microsoft.com/office/drawing/2014/chart" uri="{C3380CC4-5D6E-409C-BE32-E72D297353CC}">
                <c16:uniqueId val="{00000001-079F-AD4A-8F56-32A43F549D60}"/>
              </c:ext>
            </c:extLst>
          </c:dPt>
          <c:dPt>
            <c:idx val="1"/>
            <c:bubble3D val="0"/>
            <c:spPr>
              <a:solidFill>
                <a:srgbClr val="993366"/>
              </a:solidFill>
              <a:ln w="25400">
                <a:noFill/>
              </a:ln>
            </c:spPr>
            <c:extLst>
              <c:ext xmlns:c16="http://schemas.microsoft.com/office/drawing/2014/chart" uri="{C3380CC4-5D6E-409C-BE32-E72D297353CC}">
                <c16:uniqueId val="{00000003-079F-AD4A-8F56-32A43F549D60}"/>
              </c:ext>
            </c:extLst>
          </c:dPt>
          <c:dPt>
            <c:idx val="2"/>
            <c:bubble3D val="0"/>
            <c:spPr>
              <a:solidFill>
                <a:srgbClr val="FFFFCC"/>
              </a:solidFill>
              <a:ln w="25400">
                <a:noFill/>
              </a:ln>
            </c:spPr>
            <c:extLst>
              <c:ext xmlns:c16="http://schemas.microsoft.com/office/drawing/2014/chart" uri="{C3380CC4-5D6E-409C-BE32-E72D297353CC}">
                <c16:uniqueId val="{00000005-079F-AD4A-8F56-32A43F549D60}"/>
              </c:ext>
            </c:extLst>
          </c:dPt>
          <c:dPt>
            <c:idx val="3"/>
            <c:bubble3D val="0"/>
            <c:spPr>
              <a:solidFill>
                <a:srgbClr val="CCFFFF"/>
              </a:solidFill>
              <a:ln w="25400">
                <a:noFill/>
              </a:ln>
            </c:spPr>
            <c:extLst>
              <c:ext xmlns:c16="http://schemas.microsoft.com/office/drawing/2014/chart" uri="{C3380CC4-5D6E-409C-BE32-E72D297353CC}">
                <c16:uniqueId val="{00000007-079F-AD4A-8F56-32A43F549D60}"/>
              </c:ext>
            </c:extLst>
          </c:dPt>
          <c:dLbls>
            <c:dLbl>
              <c:idx val="0"/>
              <c:tx>
                <c:rich>
                  <a:bodyPr/>
                  <a:lstStyle/>
                  <a:p>
                    <a:fld id="{F676C235-AA5E-F746-A688-3718B9C26A99}" type="CATEGORYNAME">
                      <a:rPr lang="fr-FR" sz="1200"/>
                      <a:pPr/>
                      <a:t>[NOM DE CATÉGORIE]</a:t>
                    </a:fld>
                    <a:r>
                      <a:rPr lang="fr-FR" sz="1200" baseline="0"/>
                      <a:t>
</a:t>
                    </a:r>
                    <a:fld id="{18BEEB74-5556-F141-B825-EDE45591B952}" type="PERCENTAGE">
                      <a:rPr lang="fr-FR" sz="1200" baseline="0"/>
                      <a:pPr/>
                      <a:t>[POURCENTAGE]</a:t>
                    </a:fld>
                    <a:endParaRPr lang="fr-FR" sz="12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79F-AD4A-8F56-32A43F549D60}"/>
                </c:ext>
              </c:extLst>
            </c:dLbl>
            <c:dLbl>
              <c:idx val="1"/>
              <c:tx>
                <c:rich>
                  <a:bodyPr/>
                  <a:lstStyle/>
                  <a:p>
                    <a:pPr algn="ctr" rtl="1">
                      <a:defRPr sz="2000" b="1" i="0" u="none" strike="noStrike" baseline="0">
                        <a:solidFill>
                          <a:srgbClr val="FFFF00"/>
                        </a:solidFill>
                        <a:latin typeface="Arial Black"/>
                        <a:ea typeface="Arial Black"/>
                        <a:cs typeface="Arial Black"/>
                      </a:defRPr>
                    </a:pPr>
                    <a:fld id="{37C628C4-A2DE-E74A-BB2F-47090ED45A31}" type="CATEGORYNAME">
                      <a:rPr lang="fr-FR" sz="1200"/>
                      <a:pPr algn="ctr" rtl="1">
                        <a:defRPr sz="2000" b="1" i="0" u="none" strike="noStrike" baseline="0">
                          <a:solidFill>
                            <a:srgbClr val="FFFF00"/>
                          </a:solidFill>
                          <a:latin typeface="Arial Black"/>
                          <a:ea typeface="Arial Black"/>
                          <a:cs typeface="Arial Black"/>
                        </a:defRPr>
                      </a:pPr>
                      <a:t>[NOM DE CATÉGORIE]</a:t>
                    </a:fld>
                    <a:r>
                      <a:rPr lang="fr-FR" sz="1200" baseline="0"/>
                      <a:t>
</a:t>
                    </a:r>
                    <a:fld id="{07FBA4FD-E1BC-964F-8E8E-82AD1212B021}" type="PERCENTAGE">
                      <a:rPr lang="fr-FR" sz="1200" baseline="0"/>
                      <a:pPr algn="ctr" rtl="1">
                        <a:defRPr sz="2000" b="1" i="0" u="none" strike="noStrike" baseline="0">
                          <a:solidFill>
                            <a:srgbClr val="FFFF00"/>
                          </a:solidFill>
                          <a:latin typeface="Arial Black"/>
                          <a:ea typeface="Arial Black"/>
                          <a:cs typeface="Arial Black"/>
                        </a:defRPr>
                      </a:pPr>
                      <a:t>[POURCENTAGE]</a:t>
                    </a:fld>
                    <a:endParaRPr lang="fr-FR" sz="1200" baseline="0"/>
                  </a:p>
                </c:rich>
              </c:tx>
              <c:numFmt formatCode="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79F-AD4A-8F56-32A43F549D60}"/>
                </c:ext>
              </c:extLst>
            </c:dLbl>
            <c:dLbl>
              <c:idx val="2"/>
              <c:layout>
                <c:manualLayout>
                  <c:x val="0.10610556857018587"/>
                  <c:y val="0.10063582264350143"/>
                </c:manualLayout>
              </c:layout>
              <c:tx>
                <c:rich>
                  <a:bodyPr/>
                  <a:lstStyle/>
                  <a:p>
                    <a:pPr algn="ctr" rtl="1">
                      <a:defRPr sz="2000" b="1" i="0" u="none" strike="noStrike" baseline="0">
                        <a:solidFill>
                          <a:srgbClr val="000000"/>
                        </a:solidFill>
                        <a:latin typeface="Arial Black"/>
                        <a:ea typeface="Arial Black"/>
                        <a:cs typeface="Arial Black"/>
                      </a:defRPr>
                    </a:pPr>
                    <a:fld id="{A2AEA648-8CA6-2F41-A413-736508DE543A}" type="CATEGORYNAME">
                      <a:rPr lang="fr-FR" sz="1000"/>
                      <a:pPr algn="ctr" rtl="1">
                        <a:defRPr sz="2000" b="1" i="0" u="none" strike="noStrike" baseline="0">
                          <a:solidFill>
                            <a:srgbClr val="000000"/>
                          </a:solidFill>
                          <a:latin typeface="Arial Black"/>
                          <a:ea typeface="Arial Black"/>
                          <a:cs typeface="Arial Black"/>
                        </a:defRPr>
                      </a:pPr>
                      <a:t>[NOM DE CATÉGORIE]</a:t>
                    </a:fld>
                    <a:r>
                      <a:rPr lang="fr-FR" sz="1000" baseline="0"/>
                      <a:t>
</a:t>
                    </a:r>
                    <a:fld id="{AD474A2C-BB8D-1341-B1D0-072AAC0890EE}" type="PERCENTAGE">
                      <a:rPr lang="fr-FR" sz="1000" baseline="0"/>
                      <a:pPr algn="ctr" rtl="1">
                        <a:defRPr sz="2000" b="1" i="0" u="none" strike="noStrike" baseline="0">
                          <a:solidFill>
                            <a:srgbClr val="000000"/>
                          </a:solidFill>
                          <a:latin typeface="Arial Black"/>
                          <a:ea typeface="Arial Black"/>
                          <a:cs typeface="Arial Black"/>
                        </a:defRPr>
                      </a:pPr>
                      <a:t>[POURCENTAGE]</a:t>
                    </a:fld>
                    <a:endParaRPr lang="fr-FR" sz="1000" baseline="0"/>
                  </a:p>
                </c:rich>
              </c:tx>
              <c:numFmt formatCode="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79F-AD4A-8F56-32A43F549D60}"/>
                </c:ext>
              </c:extLst>
            </c:dLbl>
            <c:dLbl>
              <c:idx val="3"/>
              <c:layout>
                <c:manualLayout>
                  <c:x val="5.2668769863956223E-2"/>
                  <c:y val="0.10061755548712835"/>
                </c:manualLayout>
              </c:layout>
              <c:tx>
                <c:rich>
                  <a:bodyPr/>
                  <a:lstStyle/>
                  <a:p>
                    <a:pPr algn="ctr" rtl="1">
                      <a:defRPr sz="2000" b="1" i="0" u="none" strike="noStrike" baseline="0">
                        <a:solidFill>
                          <a:srgbClr val="000000"/>
                        </a:solidFill>
                        <a:latin typeface="Arial Black"/>
                        <a:ea typeface="Arial Black"/>
                        <a:cs typeface="Arial Black"/>
                      </a:defRPr>
                    </a:pPr>
                    <a:fld id="{304AA97F-09CA-A541-9A63-788C3FB64BEB}" type="CATEGORYNAME">
                      <a:rPr lang="fr-FR" sz="1200"/>
                      <a:pPr algn="ctr" rtl="1">
                        <a:defRPr sz="2000" b="1" i="0" u="none" strike="noStrike" baseline="0">
                          <a:solidFill>
                            <a:srgbClr val="000000"/>
                          </a:solidFill>
                          <a:latin typeface="Arial Black"/>
                          <a:ea typeface="Arial Black"/>
                          <a:cs typeface="Arial Black"/>
                        </a:defRPr>
                      </a:pPr>
                      <a:t>[NOM DE CATÉGORIE]</a:t>
                    </a:fld>
                    <a:r>
                      <a:rPr lang="fr-FR" sz="1200" baseline="0"/>
                      <a:t>
</a:t>
                    </a:r>
                    <a:fld id="{6CAB2335-DDD6-DD4D-BC32-1EBBD1F5D034}" type="PERCENTAGE">
                      <a:rPr lang="fr-FR" sz="1200" baseline="0"/>
                      <a:pPr algn="ctr" rtl="1">
                        <a:defRPr sz="2000" b="1" i="0" u="none" strike="noStrike" baseline="0">
                          <a:solidFill>
                            <a:srgbClr val="000000"/>
                          </a:solidFill>
                          <a:latin typeface="Arial Black"/>
                          <a:ea typeface="Arial Black"/>
                          <a:cs typeface="Arial Black"/>
                        </a:defRPr>
                      </a:pPr>
                      <a:t>[POURCENTAGE]</a:t>
                    </a:fld>
                    <a:endParaRPr lang="fr-FR" sz="1200" baseline="0"/>
                  </a:p>
                </c:rich>
              </c:tx>
              <c:numFmt formatCode="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79F-AD4A-8F56-32A43F549D60}"/>
                </c:ext>
              </c:extLst>
            </c:dLbl>
            <c:numFmt formatCode="0%" sourceLinked="0"/>
            <c:spPr>
              <a:noFill/>
              <a:ln w="25400">
                <a:noFill/>
              </a:ln>
            </c:spPr>
            <c:txPr>
              <a:bodyPr wrap="square" lIns="38100" tIns="19050" rIns="38100" bIns="19050" anchor="ctr">
                <a:spAutoFit/>
              </a:bodyPr>
              <a:lstStyle/>
              <a:p>
                <a:pPr algn="ctr" rtl="1">
                  <a:defRPr sz="2000" b="1" i="0" u="none" strike="noStrike" baseline="0">
                    <a:solidFill>
                      <a:srgbClr val="000000"/>
                    </a:solidFill>
                    <a:latin typeface="Arial Black"/>
                    <a:ea typeface="Arial Black"/>
                    <a:cs typeface="Arial Black"/>
                  </a:defRPr>
                </a:pPr>
                <a:endParaRPr lang="fr-FR"/>
              </a:p>
            </c:txPr>
            <c:showLegendKey val="0"/>
            <c:showVal val="0"/>
            <c:showCatName val="1"/>
            <c:showSerName val="0"/>
            <c:showPercent val="1"/>
            <c:showBubbleSize val="0"/>
            <c:showLeaderLines val="1"/>
            <c:extLst>
              <c:ext xmlns:c15="http://schemas.microsoft.com/office/drawing/2012/chart" uri="{CE6537A1-D6FC-4f65-9D91-7224C49458BB}"/>
            </c:extLst>
          </c:dLbls>
          <c:cat>
            <c:strRef>
              <c:f>'charges BP'!$A$4:$A$7</c:f>
              <c:strCache>
                <c:ptCount val="4"/>
                <c:pt idx="0">
                  <c:v>Charges de personnel </c:v>
                </c:pt>
                <c:pt idx="1">
                  <c:v>Charges à caractère général</c:v>
                </c:pt>
                <c:pt idx="2">
                  <c:v>Autres charges de gestion courante</c:v>
                </c:pt>
                <c:pt idx="3">
                  <c:v>Charges financières</c:v>
                </c:pt>
              </c:strCache>
            </c:strRef>
          </c:cat>
          <c:val>
            <c:numRef>
              <c:f>'charges BP'!$B$4:$B$7</c:f>
              <c:numCache>
                <c:formatCode>#,##0</c:formatCode>
                <c:ptCount val="4"/>
                <c:pt idx="0">
                  <c:v>384000</c:v>
                </c:pt>
                <c:pt idx="1">
                  <c:v>204480</c:v>
                </c:pt>
                <c:pt idx="2">
                  <c:v>79393</c:v>
                </c:pt>
                <c:pt idx="3">
                  <c:v>15690</c:v>
                </c:pt>
              </c:numCache>
            </c:numRef>
          </c:val>
          <c:extLst>
            <c:ext xmlns:c16="http://schemas.microsoft.com/office/drawing/2014/chart" uri="{C3380CC4-5D6E-409C-BE32-E72D297353CC}">
              <c16:uniqueId val="{00000008-079F-AD4A-8F56-32A43F549D6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A2E79A"/>
        </a:gs>
        <a:gs pos="84000">
          <a:srgbClr val="A2E79A"/>
        </a:gs>
        <a:gs pos="100000">
          <a:srgbClr val="FFFFFF"/>
        </a:gs>
      </a:gsLst>
      <a:path path="rect">
        <a:fillToRect l="50000" t="50000" r="50000" b="50000"/>
      </a:path>
    </a:gra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800" b="1" i="0" u="none" strike="noStrike" baseline="0">
                <a:solidFill>
                  <a:srgbClr val="DD0806"/>
                </a:solidFill>
                <a:latin typeface="Arial"/>
                <a:ea typeface="Arial"/>
                <a:cs typeface="Arial"/>
              </a:defRPr>
            </a:pPr>
            <a:r>
              <a:rPr lang="fr-FR" sz="1800"/>
              <a:t>REPARTITION DES RECETTES 2020</a:t>
            </a:r>
          </a:p>
        </c:rich>
      </c:tx>
      <c:layout>
        <c:manualLayout>
          <c:xMode val="edge"/>
          <c:yMode val="edge"/>
          <c:x val="0.17664722678895906"/>
          <c:y val="6.413223537897457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2.2869803097598271E-2"/>
          <c:y val="1.9116388185232792E-2"/>
          <c:w val="0.96614942947191063"/>
          <c:h val="0.89393838052335373"/>
        </c:manualLayout>
      </c:layout>
      <c:pie3DChart>
        <c:varyColors val="1"/>
        <c:ser>
          <c:idx val="0"/>
          <c:order val="0"/>
          <c:spPr>
            <a:solidFill>
              <a:srgbClr val="9999FF"/>
            </a:solidFill>
            <a:ln w="25400">
              <a:noFill/>
            </a:ln>
          </c:spPr>
          <c:explosion val="25"/>
          <c:dPt>
            <c:idx val="0"/>
            <c:bubble3D val="0"/>
            <c:extLst>
              <c:ext xmlns:c16="http://schemas.microsoft.com/office/drawing/2014/chart" uri="{C3380CC4-5D6E-409C-BE32-E72D297353CC}">
                <c16:uniqueId val="{00000000-2EB0-5C49-8CD9-C938D7EE9439}"/>
              </c:ext>
            </c:extLst>
          </c:dPt>
          <c:dPt>
            <c:idx val="1"/>
            <c:bubble3D val="0"/>
            <c:explosion val="27"/>
            <c:spPr>
              <a:solidFill>
                <a:srgbClr val="993366"/>
              </a:solidFill>
              <a:ln w="25400">
                <a:noFill/>
              </a:ln>
            </c:spPr>
            <c:extLst>
              <c:ext xmlns:c16="http://schemas.microsoft.com/office/drawing/2014/chart" uri="{C3380CC4-5D6E-409C-BE32-E72D297353CC}">
                <c16:uniqueId val="{00000002-2EB0-5C49-8CD9-C938D7EE9439}"/>
              </c:ext>
            </c:extLst>
          </c:dPt>
          <c:dPt>
            <c:idx val="2"/>
            <c:bubble3D val="0"/>
            <c:spPr>
              <a:solidFill>
                <a:srgbClr val="FFFFCC"/>
              </a:solidFill>
              <a:ln w="25400">
                <a:noFill/>
              </a:ln>
            </c:spPr>
            <c:extLst>
              <c:ext xmlns:c16="http://schemas.microsoft.com/office/drawing/2014/chart" uri="{C3380CC4-5D6E-409C-BE32-E72D297353CC}">
                <c16:uniqueId val="{00000004-2EB0-5C49-8CD9-C938D7EE9439}"/>
              </c:ext>
            </c:extLst>
          </c:dPt>
          <c:dPt>
            <c:idx val="3"/>
            <c:bubble3D val="0"/>
            <c:spPr>
              <a:solidFill>
                <a:srgbClr val="CCFFFF"/>
              </a:solidFill>
              <a:ln w="25400">
                <a:noFill/>
              </a:ln>
            </c:spPr>
            <c:extLst>
              <c:ext xmlns:c16="http://schemas.microsoft.com/office/drawing/2014/chart" uri="{C3380CC4-5D6E-409C-BE32-E72D297353CC}">
                <c16:uniqueId val="{00000006-2EB0-5C49-8CD9-C938D7EE9439}"/>
              </c:ext>
            </c:extLst>
          </c:dPt>
          <c:dPt>
            <c:idx val="4"/>
            <c:bubble3D val="0"/>
            <c:spPr>
              <a:solidFill>
                <a:srgbClr val="660066"/>
              </a:solidFill>
              <a:ln w="25400">
                <a:noFill/>
              </a:ln>
            </c:spPr>
            <c:extLst>
              <c:ext xmlns:c16="http://schemas.microsoft.com/office/drawing/2014/chart" uri="{C3380CC4-5D6E-409C-BE32-E72D297353CC}">
                <c16:uniqueId val="{00000008-2EB0-5C49-8CD9-C938D7EE9439}"/>
              </c:ext>
            </c:extLst>
          </c:dPt>
          <c:dPt>
            <c:idx val="5"/>
            <c:bubble3D val="0"/>
            <c:extLst>
              <c:ext xmlns:c16="http://schemas.microsoft.com/office/drawing/2014/chart" uri="{C3380CC4-5D6E-409C-BE32-E72D297353CC}">
                <c16:uniqueId val="{00000009-2EB0-5C49-8CD9-C938D7EE9439}"/>
              </c:ext>
            </c:extLst>
          </c:dPt>
          <c:dLbls>
            <c:dLbl>
              <c:idx val="0"/>
              <c:layout>
                <c:manualLayout>
                  <c:x val="-0.19965361110304"/>
                  <c:y val="3.6524120685292412E-3"/>
                </c:manualLayout>
              </c:layout>
              <c:tx>
                <c:rich>
                  <a:bodyPr/>
                  <a:lstStyle/>
                  <a:p>
                    <a:pPr algn="ctr" rtl="1">
                      <a:defRPr sz="2000" b="1" i="0" u="none" strike="noStrike" baseline="0">
                        <a:solidFill>
                          <a:srgbClr val="000000"/>
                        </a:solidFill>
                        <a:latin typeface="Arial"/>
                        <a:ea typeface="Arial"/>
                        <a:cs typeface="Arial"/>
                      </a:defRPr>
                    </a:pPr>
                    <a:fld id="{F4CBAB77-987A-DA42-9C2F-F13F92CEE0C2}" type="CATEGORYNAME">
                      <a:rPr lang="fr-FR" sz="1400"/>
                      <a:pPr algn="ctr" rtl="1">
                        <a:defRPr sz="2000" b="1" i="0" u="none" strike="noStrike" baseline="0">
                          <a:solidFill>
                            <a:srgbClr val="000000"/>
                          </a:solidFill>
                          <a:latin typeface="Arial"/>
                          <a:ea typeface="Arial"/>
                          <a:cs typeface="Arial"/>
                        </a:defRPr>
                      </a:pPr>
                      <a:t>[NOM DE CATÉGORIE]</a:t>
                    </a:fld>
                    <a:r>
                      <a:rPr lang="fr-FR" sz="1400" baseline="0"/>
                      <a:t>
</a:t>
                    </a:r>
                    <a:fld id="{BD81B51C-9A85-3843-BD7B-C72E5D38D69D}" type="PERCENTAGE">
                      <a:rPr lang="fr-FR" sz="1400" baseline="0"/>
                      <a:pPr algn="ctr" rtl="1">
                        <a:defRPr sz="2000" b="1" i="0" u="none" strike="noStrike" baseline="0">
                          <a:solidFill>
                            <a:srgbClr val="000000"/>
                          </a:solidFill>
                          <a:latin typeface="Arial"/>
                          <a:ea typeface="Arial"/>
                          <a:cs typeface="Arial"/>
                        </a:defRPr>
                      </a:pPr>
                      <a:t>[POURCENTAGE]</a:t>
                    </a:fld>
                    <a:endParaRPr lang="fr-FR" sz="1400" baseline="0"/>
                  </a:p>
                </c:rich>
              </c:tx>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EB0-5C49-8CD9-C938D7EE9439}"/>
                </c:ext>
              </c:extLst>
            </c:dLbl>
            <c:dLbl>
              <c:idx val="1"/>
              <c:layout>
                <c:manualLayout>
                  <c:x val="0.15208419705834711"/>
                  <c:y val="-6.8869506353935919E-2"/>
                </c:manualLayout>
              </c:layout>
              <c:tx>
                <c:rich>
                  <a:bodyPr/>
                  <a:lstStyle/>
                  <a:p>
                    <a:pPr>
                      <a:defRPr sz="1200" b="0" i="0" u="none" strike="noStrike" baseline="0">
                        <a:solidFill>
                          <a:srgbClr val="000000"/>
                        </a:solidFill>
                        <a:latin typeface="Arial"/>
                        <a:ea typeface="Arial"/>
                        <a:cs typeface="Arial"/>
                      </a:defRPr>
                    </a:pPr>
                    <a:r>
                      <a:rPr lang="en-US" sz="1100" b="1" i="0" u="none" strike="noStrike" baseline="0">
                        <a:solidFill>
                          <a:srgbClr val="FFFF00"/>
                        </a:solidFill>
                        <a:latin typeface="Arial" pitchFamily="2" charset="0"/>
                        <a:cs typeface="Arial" pitchFamily="2" charset="0"/>
                      </a:rPr>
                      <a:t>[produits des services</a:t>
                    </a:r>
                  </a:p>
                  <a:p>
                    <a:pPr>
                      <a:defRPr sz="1200" b="0" i="0" u="none" strike="noStrike" baseline="0">
                        <a:solidFill>
                          <a:srgbClr val="000000"/>
                        </a:solidFill>
                        <a:latin typeface="Arial"/>
                        <a:ea typeface="Arial"/>
                        <a:cs typeface="Arial"/>
                      </a:defRPr>
                    </a:pPr>
                    <a:r>
                      <a:rPr lang="en-US" sz="1100" b="1" i="0" u="none" strike="noStrike" baseline="0">
                        <a:solidFill>
                          <a:srgbClr val="FFFF00"/>
                        </a:solidFill>
                        <a:latin typeface="Arial" pitchFamily="2" charset="0"/>
                        <a:cs typeface="Arial" pitchFamily="2" charset="0"/>
                      </a:rPr>
                      <a:t>15%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B0-5C49-8CD9-C938D7EE9439}"/>
                </c:ext>
              </c:extLst>
            </c:dLbl>
            <c:dLbl>
              <c:idx val="2"/>
              <c:layout>
                <c:manualLayout>
                  <c:x val="5.8433870064617095E-2"/>
                  <c:y val="-7.96338060504687E-2"/>
                </c:manualLayout>
              </c:layout>
              <c:tx>
                <c:rich>
                  <a:bodyPr/>
                  <a:lstStyle/>
                  <a:p>
                    <a:pPr algn="ctr" rtl="1">
                      <a:defRPr sz="2000" b="1" i="0" u="none" strike="noStrike" baseline="0">
                        <a:solidFill>
                          <a:srgbClr val="000000"/>
                        </a:solidFill>
                        <a:latin typeface="Arial"/>
                        <a:ea typeface="Arial"/>
                        <a:cs typeface="Arial"/>
                      </a:defRPr>
                    </a:pPr>
                    <a:fld id="{B2A8D1C9-F797-A14C-9871-6A44ABD94B22}" type="CATEGORYNAME">
                      <a:rPr lang="fr-FR" sz="1050"/>
                      <a:pPr algn="ctr" rtl="1">
                        <a:defRPr sz="2000" b="1" i="0" u="none" strike="noStrike" baseline="0">
                          <a:solidFill>
                            <a:srgbClr val="000000"/>
                          </a:solidFill>
                          <a:latin typeface="Arial"/>
                          <a:ea typeface="Arial"/>
                          <a:cs typeface="Arial"/>
                        </a:defRPr>
                      </a:pPr>
                      <a:t>[NOM DE CATÉGORIE]</a:t>
                    </a:fld>
                    <a:r>
                      <a:rPr lang="fr-FR" sz="1050" baseline="0"/>
                      <a:t>
</a:t>
                    </a:r>
                    <a:fld id="{10E2555D-774A-8D45-BAFC-A8A267A16589}" type="PERCENTAGE">
                      <a:rPr lang="fr-FR" sz="1050" baseline="0"/>
                      <a:pPr algn="ctr" rtl="1">
                        <a:defRPr sz="2000" b="1" i="0" u="none" strike="noStrike" baseline="0">
                          <a:solidFill>
                            <a:srgbClr val="000000"/>
                          </a:solidFill>
                          <a:latin typeface="Arial"/>
                          <a:ea typeface="Arial"/>
                          <a:cs typeface="Arial"/>
                        </a:defRPr>
                      </a:pPr>
                      <a:t>[POURCENTAGE]</a:t>
                    </a:fld>
                    <a:endParaRPr lang="fr-FR" sz="1050" baseline="0"/>
                  </a:p>
                </c:rich>
              </c:tx>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EB0-5C49-8CD9-C938D7EE9439}"/>
                </c:ext>
              </c:extLst>
            </c:dLbl>
            <c:dLbl>
              <c:idx val="3"/>
              <c:layout>
                <c:manualLayout>
                  <c:x val="0.2265300663118735"/>
                  <c:y val="4.9136516600337812E-2"/>
                </c:manualLayout>
              </c:layout>
              <c:tx>
                <c:rich>
                  <a:bodyPr/>
                  <a:lstStyle/>
                  <a:p>
                    <a:pPr algn="ctr" rtl="1">
                      <a:defRPr sz="2000" b="1" i="0" u="none" strike="noStrike" baseline="0">
                        <a:solidFill>
                          <a:srgbClr val="000000"/>
                        </a:solidFill>
                        <a:latin typeface="Arial"/>
                        <a:ea typeface="Arial"/>
                        <a:cs typeface="Arial"/>
                      </a:defRPr>
                    </a:pPr>
                    <a:fld id="{77135C22-E86D-CB48-9BCA-6584AD90201D}" type="CATEGORYNAME">
                      <a:rPr lang="fr-FR" sz="1100"/>
                      <a:pPr algn="ctr" rtl="1">
                        <a:defRPr sz="2000" b="1" i="0" u="none" strike="noStrike" baseline="0">
                          <a:solidFill>
                            <a:srgbClr val="000000"/>
                          </a:solidFill>
                          <a:latin typeface="Arial"/>
                          <a:ea typeface="Arial"/>
                          <a:cs typeface="Arial"/>
                        </a:defRPr>
                      </a:pPr>
                      <a:t>[NOM DE CATÉGORIE]</a:t>
                    </a:fld>
                    <a:r>
                      <a:rPr lang="fr-FR" sz="1100" baseline="0"/>
                      <a:t>
</a:t>
                    </a:r>
                    <a:fld id="{C6BC91B9-5295-5541-A65D-463923E2D364}" type="PERCENTAGE">
                      <a:rPr lang="fr-FR" sz="1100" baseline="0"/>
                      <a:pPr algn="ctr" rtl="1">
                        <a:defRPr sz="2000" b="1" i="0" u="none" strike="noStrike" baseline="0">
                          <a:solidFill>
                            <a:srgbClr val="000000"/>
                          </a:solidFill>
                          <a:latin typeface="Arial"/>
                          <a:ea typeface="Arial"/>
                          <a:cs typeface="Arial"/>
                        </a:defRPr>
                      </a:pPr>
                      <a:t>[POURCENTAGE]</a:t>
                    </a:fld>
                    <a:endParaRPr lang="fr-FR" sz="1100" baseline="0"/>
                  </a:p>
                </c:rich>
              </c:tx>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EB0-5C49-8CD9-C938D7EE9439}"/>
                </c:ext>
              </c:extLst>
            </c:dLbl>
            <c:dLbl>
              <c:idx val="4"/>
              <c:delete val="1"/>
              <c:extLst>
                <c:ext xmlns:c15="http://schemas.microsoft.com/office/drawing/2012/chart" uri="{CE6537A1-D6FC-4f65-9D91-7224C49458BB}"/>
                <c:ext xmlns:c16="http://schemas.microsoft.com/office/drawing/2014/chart" uri="{C3380CC4-5D6E-409C-BE32-E72D297353CC}">
                  <c16:uniqueId val="{00000008-2EB0-5C49-8CD9-C938D7EE9439}"/>
                </c:ext>
              </c:extLst>
            </c:dLbl>
            <c:dLbl>
              <c:idx val="5"/>
              <c:delete val="1"/>
              <c:extLst>
                <c:ext xmlns:c15="http://schemas.microsoft.com/office/drawing/2012/chart" uri="{CE6537A1-D6FC-4f65-9D91-7224C49458BB}"/>
                <c:ext xmlns:c16="http://schemas.microsoft.com/office/drawing/2014/chart" uri="{C3380CC4-5D6E-409C-BE32-E72D297353CC}">
                  <c16:uniqueId val="{00000009-2EB0-5C49-8CD9-C938D7EE9439}"/>
                </c:ext>
              </c:extLst>
            </c:dLbl>
            <c:spPr>
              <a:noFill/>
              <a:ln w="25400">
                <a:noFill/>
              </a:ln>
            </c:spPr>
            <c:txPr>
              <a:bodyPr wrap="square" lIns="38100" tIns="19050" rIns="38100" bIns="19050" anchor="ctr">
                <a:spAutoFit/>
              </a:bodyPr>
              <a:lstStyle/>
              <a:p>
                <a:pPr algn="ctr" rtl="1">
                  <a:defRPr sz="2000" b="0" i="0" u="none" strike="noStrike" baseline="0">
                    <a:solidFill>
                      <a:srgbClr val="000000"/>
                    </a:solidFill>
                    <a:latin typeface="Arial"/>
                    <a:ea typeface="Arial"/>
                    <a:cs typeface="Arial"/>
                  </a:defRPr>
                </a:pPr>
                <a:endParaRPr lang="fr-FR"/>
              </a:p>
            </c:txPr>
            <c:showLegendKey val="0"/>
            <c:showVal val="0"/>
            <c:showCatName val="1"/>
            <c:showSerName val="0"/>
            <c:showPercent val="1"/>
            <c:showBubbleSize val="0"/>
            <c:showLeaderLines val="1"/>
            <c:extLst>
              <c:ext xmlns:c15="http://schemas.microsoft.com/office/drawing/2012/chart" uri="{CE6537A1-D6FC-4f65-9D91-7224C49458BB}"/>
            </c:extLst>
          </c:dLbls>
          <c:cat>
            <c:strRef>
              <c:f>'recette BP'!$A$4:$A$9</c:f>
              <c:strCache>
                <c:ptCount val="6"/>
                <c:pt idx="0">
                  <c:v>Impôts et taxes</c:v>
                </c:pt>
                <c:pt idx="1">
                  <c:v>Prod. des serv. du domaine et ventes diverses</c:v>
                </c:pt>
                <c:pt idx="2">
                  <c:v>Autres produits de gestion courante</c:v>
                </c:pt>
                <c:pt idx="3">
                  <c:v>Dotations subventions et participations</c:v>
                </c:pt>
                <c:pt idx="4">
                  <c:v>Produits financiers</c:v>
                </c:pt>
                <c:pt idx="5">
                  <c:v>Produits exceptionnels</c:v>
                </c:pt>
              </c:strCache>
            </c:strRef>
          </c:cat>
          <c:val>
            <c:numRef>
              <c:f>'recette BP'!$B$4:$B$9</c:f>
              <c:numCache>
                <c:formatCode>#,##0</c:formatCode>
                <c:ptCount val="6"/>
                <c:pt idx="0">
                  <c:v>307270</c:v>
                </c:pt>
                <c:pt idx="1">
                  <c:v>75700</c:v>
                </c:pt>
                <c:pt idx="2">
                  <c:v>20200</c:v>
                </c:pt>
                <c:pt idx="3">
                  <c:v>156800</c:v>
                </c:pt>
              </c:numCache>
            </c:numRef>
          </c:val>
          <c:extLst>
            <c:ext xmlns:c16="http://schemas.microsoft.com/office/drawing/2014/chart" uri="{C3380CC4-5D6E-409C-BE32-E72D297353CC}">
              <c16:uniqueId val="{0000000A-2EB0-5C49-8CD9-C938D7EE9439}"/>
            </c:ext>
          </c:extLst>
        </c:ser>
        <c:dLbls>
          <c:showLegendKey val="0"/>
          <c:showVal val="0"/>
          <c:showCatName val="0"/>
          <c:showSerName val="0"/>
          <c:showPercent val="0"/>
          <c:showBubbleSize val="0"/>
          <c:showLeaderLines val="1"/>
        </c:dLbls>
      </c:pie3DChart>
      <c:spPr>
        <a:gradFill rotWithShape="0">
          <a:gsLst>
            <a:gs pos="0">
              <a:srgbClr val="32D7FF"/>
            </a:gs>
            <a:gs pos="57001">
              <a:srgbClr val="32D7FF"/>
            </a:gs>
            <a:gs pos="100000">
              <a:srgbClr val="000000"/>
            </a:gs>
          </a:gsLst>
          <a:path path="rect">
            <a:fillToRect l="100000" t="100000"/>
          </a:path>
        </a:gradFill>
        <a:ln w="25400">
          <a:noFill/>
        </a:ln>
      </c:spPr>
    </c:plotArea>
    <c:plotVisOnly val="1"/>
    <c:dispBlanksAs val="zero"/>
    <c:showDLblsOverMax val="0"/>
  </c:chart>
  <c:spPr>
    <a:solidFill>
      <a:srgbClr val="FDEADA"/>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CLAUDE VASSEUR</cp:lastModifiedBy>
  <cp:revision>4</cp:revision>
  <dcterms:created xsi:type="dcterms:W3CDTF">2020-02-03T08:36:00Z</dcterms:created>
  <dcterms:modified xsi:type="dcterms:W3CDTF">2020-02-03T10:07:00Z</dcterms:modified>
</cp:coreProperties>
</file>